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28E86" w14:textId="77777777" w:rsidR="003E4228" w:rsidRDefault="00F03499" w:rsidP="00A7561A">
      <w:pPr>
        <w:pStyle w:val="Heading1"/>
        <w:spacing w:before="0" w:line="276" w:lineRule="auto"/>
        <w:jc w:val="both"/>
      </w:pPr>
      <w:r>
        <w:t>Tender Award Criteria</w:t>
      </w:r>
    </w:p>
    <w:p w14:paraId="22A28E87" w14:textId="182D5CD2" w:rsidR="003E4228" w:rsidRDefault="569AD2F2" w:rsidP="00A7561A">
      <w:pPr>
        <w:spacing w:after="40" w:line="276" w:lineRule="auto"/>
        <w:jc w:val="both"/>
      </w:pPr>
      <w:r w:rsidRPr="569AD2F2">
        <w:rPr>
          <w:b/>
          <w:bCs/>
          <w:sz w:val="24"/>
          <w:szCs w:val="24"/>
        </w:rPr>
        <w:t>Most Economically Advantageous Tender (MEAT)- 60% Technical / 40% Price</w:t>
      </w:r>
    </w:p>
    <w:p w14:paraId="22A28E88" w14:textId="29D540F4" w:rsidR="003E4228" w:rsidRDefault="569AD2F2" w:rsidP="00A7561A">
      <w:pPr>
        <w:spacing w:after="20" w:line="276" w:lineRule="auto"/>
        <w:jc w:val="both"/>
      </w:pPr>
      <w:r w:rsidRPr="569AD2F2">
        <w:rPr>
          <w:b/>
          <w:bCs/>
        </w:rPr>
        <w:t>Procurement of a Mechanical &amp; Electrical Contractor- Heat Pump Installation</w:t>
      </w:r>
    </w:p>
    <w:p w14:paraId="22A28E89" w14:textId="77777777" w:rsidR="003E4228" w:rsidRDefault="00F03499" w:rsidP="00A7561A">
      <w:pPr>
        <w:spacing w:after="20" w:line="276" w:lineRule="auto"/>
        <w:jc w:val="both"/>
      </w:pPr>
      <w:r>
        <w:t>Strokestown Park &amp; The National Famine Museum, Co. Roscommon (Irish Heritage Trust)</w:t>
      </w:r>
    </w:p>
    <w:p w14:paraId="22A28E8A" w14:textId="7790F346" w:rsidR="003E4228" w:rsidRDefault="00F03499" w:rsidP="00A7561A">
      <w:pPr>
        <w:spacing w:line="276" w:lineRule="auto"/>
        <w:jc w:val="both"/>
      </w:pPr>
      <w:r>
        <w:rPr>
          <w:color w:val="555555"/>
          <w:sz w:val="20"/>
          <w:szCs w:val="20"/>
        </w:rPr>
        <w:t xml:space="preserve">Issued via </w:t>
      </w:r>
      <w:r w:rsidR="002A3AFB">
        <w:rPr>
          <w:color w:val="555555"/>
          <w:sz w:val="20"/>
          <w:szCs w:val="20"/>
        </w:rPr>
        <w:t>eTenders.gov.ie | Capital</w:t>
      </w:r>
      <w:r>
        <w:rPr>
          <w:color w:val="555555"/>
          <w:sz w:val="20"/>
          <w:szCs w:val="20"/>
        </w:rPr>
        <w:t xml:space="preserve"> Works Management Framework (</w:t>
      </w:r>
      <w:r w:rsidR="002A3AFB">
        <w:rPr>
          <w:color w:val="555555"/>
          <w:sz w:val="20"/>
          <w:szCs w:val="20"/>
        </w:rPr>
        <w:t>CWMF) | Contract</w:t>
      </w:r>
      <w:r>
        <w:rPr>
          <w:color w:val="555555"/>
          <w:sz w:val="20"/>
          <w:szCs w:val="20"/>
        </w:rPr>
        <w:t>: PW</w:t>
      </w:r>
      <w:r>
        <w:rPr>
          <w:rFonts w:ascii="Cambria Math" w:hAnsi="Cambria Math" w:cs="Cambria Math"/>
          <w:color w:val="555555"/>
          <w:sz w:val="20"/>
          <w:szCs w:val="20"/>
        </w:rPr>
        <w:t>‑</w:t>
      </w:r>
      <w:r>
        <w:rPr>
          <w:color w:val="555555"/>
          <w:sz w:val="20"/>
          <w:szCs w:val="20"/>
        </w:rPr>
        <w:t>CF6</w:t>
      </w:r>
    </w:p>
    <w:p w14:paraId="22A28E8E" w14:textId="77777777" w:rsidR="003E4228" w:rsidRDefault="003E4228" w:rsidP="00A7561A">
      <w:pPr>
        <w:spacing w:after="60" w:line="276" w:lineRule="auto"/>
        <w:jc w:val="both"/>
      </w:pPr>
    </w:p>
    <w:p w14:paraId="22A28E8F" w14:textId="2FAAC481" w:rsidR="003E4228" w:rsidRDefault="00F03499" w:rsidP="00A7561A">
      <w:pPr>
        <w:pStyle w:val="Heading2"/>
        <w:numPr>
          <w:ilvl w:val="0"/>
          <w:numId w:val="3"/>
        </w:numPr>
        <w:spacing w:before="0" w:line="276" w:lineRule="auto"/>
        <w:jc w:val="both"/>
      </w:pPr>
      <w:r>
        <w:t>Overview &amp; Procurement Context</w:t>
      </w:r>
    </w:p>
    <w:p w14:paraId="3F4AB266" w14:textId="77777777" w:rsidR="00146D4C" w:rsidRPr="00146D4C" w:rsidRDefault="00146D4C" w:rsidP="00A7561A">
      <w:pPr>
        <w:jc w:val="both"/>
      </w:pPr>
    </w:p>
    <w:p w14:paraId="22A28E90" w14:textId="4A912CE0" w:rsidR="003E4228" w:rsidRDefault="00F03499" w:rsidP="00A7561A">
      <w:pPr>
        <w:spacing w:after="100" w:line="276" w:lineRule="auto"/>
        <w:jc w:val="both"/>
      </w:pPr>
      <w:r>
        <w:t>This document sets out the Award Criteria to be applied in the evaluation of tenders for the procurement of a Mechanical &amp; Electrical (M&amp;E) Contractor to install a bivalent heat pump heating solution at Strokestown Park &amp; The National Famine Museum, Co. Roscommon</w:t>
      </w:r>
      <w:r w:rsidR="002A3AFB">
        <w:t xml:space="preserve">, which is </w:t>
      </w:r>
      <w:r>
        <w:t>a Protected Structure in the ownership of the Irish Heritage Trust (IHT). The system has been designed by the Employer’s consultant (SE Systems) and is fully specified within the tender documentation; the appointed contractor is required to install, commission and hand over the works strictly in accordance with the issued specification, drawings and schedules. No design responsibility transfers to the contractor.</w:t>
      </w:r>
    </w:p>
    <w:p w14:paraId="66C75CD4" w14:textId="77777777" w:rsidR="00146D4C" w:rsidRDefault="00146D4C" w:rsidP="00A7561A">
      <w:pPr>
        <w:spacing w:after="100" w:line="276" w:lineRule="auto"/>
        <w:jc w:val="both"/>
      </w:pPr>
    </w:p>
    <w:p w14:paraId="22A28E91" w14:textId="4D90E7D7" w:rsidR="003E4228" w:rsidRDefault="569AD2F2" w:rsidP="00A7561A">
      <w:pPr>
        <w:spacing w:after="100" w:line="276" w:lineRule="auto"/>
        <w:jc w:val="both"/>
      </w:pPr>
      <w:r>
        <w:t>The specified solution comprises two 50 kW MasterTherm BA90iP R290 air</w:t>
      </w:r>
      <w:r w:rsidRPr="569AD2F2">
        <w:rPr>
          <w:rFonts w:ascii="Times New Roman" w:hAnsi="Times New Roman" w:cs="Times New Roman"/>
        </w:rPr>
        <w:t>￼</w:t>
      </w:r>
      <w:r>
        <w:t>to</w:t>
      </w:r>
      <w:r w:rsidRPr="569AD2F2">
        <w:rPr>
          <w:rFonts w:ascii="Times New Roman" w:hAnsi="Times New Roman" w:cs="Times New Roman"/>
        </w:rPr>
        <w:t>￼</w:t>
      </w:r>
      <w:r>
        <w:t>water heat pumps (100 kW installed), sized to meet approximately 90% of the annual space</w:t>
      </w:r>
      <w:r w:rsidRPr="569AD2F2">
        <w:rPr>
          <w:rFonts w:ascii="Times New Roman" w:hAnsi="Times New Roman" w:cs="Times New Roman"/>
        </w:rPr>
        <w:t>￼</w:t>
      </w:r>
      <w:r>
        <w:t>heating demand of 215,563 kWh against a modelled peak load of 122 kW. The existing LPG boilers (two De Dietrich MCA Pro condensing boilers and two Potterton Prima</w:t>
      </w:r>
      <w:r w:rsidRPr="569AD2F2">
        <w:rPr>
          <w:rFonts w:ascii="Times New Roman" w:hAnsi="Times New Roman" w:cs="Times New Roman"/>
        </w:rPr>
        <w:t>￼</w:t>
      </w:r>
      <w:r>
        <w:t xml:space="preserve">F units) are retained as backup, engaging below approximately 4 </w:t>
      </w:r>
      <w:r w:rsidRPr="569AD2F2">
        <w:rPr>
          <w:rFonts w:ascii="Aptos" w:hAnsi="Aptos" w:cs="Aptos"/>
        </w:rPr>
        <w:t>°</w:t>
      </w:r>
      <w:r>
        <w:t>C to provide the residual ~10% of demand and resilience. The works include a new buffer tank and plate heat exchanger, new circulation pumps, mixing valves and controls, full Building Management System (BMS) integration, and heat and electrical metering.</w:t>
      </w:r>
    </w:p>
    <w:p w14:paraId="29A1D054" w14:textId="77777777" w:rsidR="00146D4C" w:rsidRDefault="00146D4C" w:rsidP="00A7561A">
      <w:pPr>
        <w:spacing w:after="100" w:line="276" w:lineRule="auto"/>
        <w:jc w:val="both"/>
      </w:pPr>
    </w:p>
    <w:p w14:paraId="22A28E92" w14:textId="39B84702" w:rsidR="003E4228" w:rsidRDefault="00F03499" w:rsidP="00A7561A">
      <w:pPr>
        <w:spacing w:after="100" w:line="276" w:lineRule="auto"/>
        <w:jc w:val="both"/>
      </w:pPr>
      <w:r>
        <w:t>The procurement is conducted under the Capital Works Management Framework (CWMF) and advertised on eTenders (etenders.gov.ie). Evaluation shall be based on the Most Economically Advantageous Tender (MEAT) in accordance with S.I. 284/2016 (European Union (Award of Public Authority Contracts) Regulations 2016). The heat pump installation is grant</w:t>
      </w:r>
      <w:r>
        <w:rPr>
          <w:rFonts w:ascii="Cambria Math" w:hAnsi="Cambria Math" w:cs="Cambria Math"/>
        </w:rPr>
        <w:t>‑</w:t>
      </w:r>
      <w:r>
        <w:t>aided under the SEAI Support Scheme for Renewable Heat (SSRH)</w:t>
      </w:r>
      <w:r w:rsidR="002A3AFB">
        <w:t xml:space="preserve"> and</w:t>
      </w:r>
      <w:r>
        <w:t xml:space="preserve"> installer</w:t>
      </w:r>
      <w:r>
        <w:rPr>
          <w:rFonts w:ascii="Cambria Math" w:hAnsi="Cambria Math" w:cs="Cambria Math"/>
        </w:rPr>
        <w:t>‑</w:t>
      </w:r>
      <w:r>
        <w:t>side obligations arising under SSRH/GSORG are reflected in Criterion 5.</w:t>
      </w:r>
    </w:p>
    <w:p w14:paraId="0BC34C37" w14:textId="77777777" w:rsidR="00146D4C" w:rsidRDefault="00146D4C" w:rsidP="00A7561A">
      <w:pPr>
        <w:spacing w:after="100" w:line="276" w:lineRule="auto"/>
        <w:jc w:val="both"/>
      </w:pPr>
    </w:p>
    <w:p w14:paraId="22A28E93" w14:textId="77777777" w:rsidR="003E4228" w:rsidRDefault="00F03499" w:rsidP="00A7561A">
      <w:pPr>
        <w:spacing w:after="100" w:line="276" w:lineRule="auto"/>
        <w:jc w:val="both"/>
      </w:pPr>
      <w:r>
        <w:t>Given the protected status of the building, the use of R290 (a flammable A3 hydrocarbon refrigerant), and the operation of the site as a live visitor attraction and National Famine Museum, technical quality carries greater weight than price to ensure heritage sensitivity, refrigerant safety, system performance and long</w:t>
      </w:r>
      <w:r>
        <w:rPr>
          <w:rFonts w:ascii="Cambria Math" w:hAnsi="Cambria Math" w:cs="Cambria Math"/>
        </w:rPr>
        <w:t>‑</w:t>
      </w:r>
      <w:r>
        <w:t>term value for money.</w:t>
      </w:r>
    </w:p>
    <w:p w14:paraId="22A28E94" w14:textId="77777777" w:rsidR="003E4228" w:rsidRDefault="003E4228" w:rsidP="00A7561A">
      <w:pPr>
        <w:spacing w:after="60" w:line="276" w:lineRule="auto"/>
        <w:jc w:val="both"/>
      </w:pPr>
    </w:p>
    <w:p w14:paraId="2D5CEE64" w14:textId="77777777" w:rsidR="00146D4C" w:rsidRDefault="00146D4C" w:rsidP="00A7561A">
      <w:pPr>
        <w:jc w:val="both"/>
        <w:rPr>
          <w:rFonts w:asciiTheme="majorHAnsi" w:eastAsiaTheme="majorEastAsia" w:hAnsiTheme="majorHAnsi" w:cstheme="majorBidi"/>
          <w:color w:val="1B7758" w:themeColor="accent1" w:themeShade="BF"/>
          <w:sz w:val="32"/>
          <w:szCs w:val="32"/>
        </w:rPr>
      </w:pPr>
      <w:r>
        <w:br w:type="page"/>
      </w:r>
    </w:p>
    <w:p w14:paraId="22A28E95" w14:textId="5E4F903A" w:rsidR="003E4228" w:rsidRDefault="00F03499" w:rsidP="00A7561A">
      <w:pPr>
        <w:pStyle w:val="Heading2"/>
        <w:spacing w:before="0" w:line="276" w:lineRule="auto"/>
        <w:jc w:val="both"/>
      </w:pPr>
      <w:r>
        <w:lastRenderedPageBreak/>
        <w:t xml:space="preserve">2. Award Criteria </w:t>
      </w:r>
      <w:r w:rsidR="00AF7398">
        <w:t>&amp;</w:t>
      </w:r>
      <w:r>
        <w:t xml:space="preserve"> Weighting Summary</w:t>
      </w:r>
    </w:p>
    <w:p w14:paraId="6ABB802F" w14:textId="77777777" w:rsidR="00146D4C" w:rsidRPr="00146D4C" w:rsidRDefault="00146D4C" w:rsidP="00A7561A">
      <w:pPr>
        <w:jc w:val="both"/>
      </w:pPr>
    </w:p>
    <w:p w14:paraId="22A28E96" w14:textId="1BFAC3D8" w:rsidR="003E4228" w:rsidRDefault="00F03499" w:rsidP="00A7561A">
      <w:pPr>
        <w:spacing w:after="100" w:line="276" w:lineRule="auto"/>
        <w:jc w:val="both"/>
      </w:pPr>
      <w:r>
        <w:t>The following criteria and weightings shall apply:</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384"/>
        <w:gridCol w:w="1226"/>
        <w:gridCol w:w="3416"/>
      </w:tblGrid>
      <w:tr w:rsidR="003E4228" w14:paraId="22A28E9A" w14:textId="77777777" w:rsidTr="00146D4C">
        <w:trPr>
          <w:tblHeader/>
        </w:trPr>
        <w:tc>
          <w:tcPr>
            <w:tcW w:w="44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E97" w14:textId="77777777" w:rsidR="003E4228" w:rsidRDefault="00F03499" w:rsidP="00A7561A">
            <w:pPr>
              <w:spacing w:line="276" w:lineRule="auto"/>
              <w:jc w:val="both"/>
            </w:pPr>
            <w:r>
              <w:rPr>
                <w:b/>
                <w:bCs/>
                <w:color w:val="FFFFFF"/>
              </w:rPr>
              <w:t>Award Criterion</w:t>
            </w:r>
          </w:p>
        </w:tc>
        <w:tc>
          <w:tcPr>
            <w:tcW w:w="12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E98" w14:textId="77777777" w:rsidR="003E4228" w:rsidRDefault="00F03499" w:rsidP="00A7561A">
            <w:pPr>
              <w:spacing w:line="276" w:lineRule="auto"/>
              <w:jc w:val="both"/>
            </w:pPr>
            <w:r>
              <w:rPr>
                <w:b/>
                <w:bCs/>
                <w:color w:val="FFFFFF"/>
              </w:rPr>
              <w:t>Weighting</w:t>
            </w:r>
          </w:p>
        </w:tc>
        <w:tc>
          <w:tcPr>
            <w:tcW w:w="34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E99" w14:textId="77777777" w:rsidR="003E4228" w:rsidRDefault="00F03499" w:rsidP="00A7561A">
            <w:pPr>
              <w:spacing w:line="276" w:lineRule="auto"/>
              <w:jc w:val="both"/>
            </w:pPr>
            <w:r>
              <w:rPr>
                <w:b/>
                <w:bCs/>
                <w:color w:val="FFFFFF"/>
              </w:rPr>
              <w:t>Sub</w:t>
            </w:r>
            <w:r>
              <w:rPr>
                <w:rFonts w:ascii="Cambria Math" w:hAnsi="Cambria Math" w:cs="Cambria Math"/>
                <w:b/>
                <w:bCs/>
                <w:color w:val="FFFFFF"/>
              </w:rPr>
              <w:t>‑</w:t>
            </w:r>
            <w:r>
              <w:rPr>
                <w:b/>
                <w:bCs/>
                <w:color w:val="FFFFFF"/>
              </w:rPr>
              <w:t>criteria</w:t>
            </w:r>
          </w:p>
        </w:tc>
      </w:tr>
      <w:tr w:rsidR="003E4228" w14:paraId="22A28E9E" w14:textId="77777777" w:rsidTr="00146D4C">
        <w:tc>
          <w:tcPr>
            <w:tcW w:w="4400"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22A28E9B" w14:textId="77777777" w:rsidR="003E4228" w:rsidRDefault="00F03499" w:rsidP="00A7561A">
            <w:pPr>
              <w:spacing w:line="276" w:lineRule="auto"/>
              <w:jc w:val="both"/>
            </w:pPr>
            <w:r>
              <w:rPr>
                <w:b/>
                <w:bCs/>
              </w:rPr>
              <w:t>TECHNICAL QUALITY (60%)</w:t>
            </w:r>
          </w:p>
        </w:tc>
        <w:tc>
          <w:tcPr>
            <w:tcW w:w="1200"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22A28E9C" w14:textId="77777777" w:rsidR="003E4228" w:rsidRDefault="003E4228" w:rsidP="00A7561A">
            <w:pPr>
              <w:spacing w:line="276" w:lineRule="auto"/>
              <w:jc w:val="both"/>
            </w:pPr>
          </w:p>
        </w:tc>
        <w:tc>
          <w:tcPr>
            <w:tcW w:w="3426"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22A28E9D" w14:textId="77777777" w:rsidR="003E4228" w:rsidRDefault="003E4228" w:rsidP="00A7561A">
            <w:pPr>
              <w:spacing w:line="276" w:lineRule="auto"/>
              <w:jc w:val="both"/>
            </w:pPr>
          </w:p>
        </w:tc>
      </w:tr>
      <w:tr w:rsidR="003E4228" w14:paraId="22A28EA2" w14:textId="77777777">
        <w:tc>
          <w:tcPr>
            <w:tcW w:w="44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9F" w14:textId="77777777" w:rsidR="003E4228" w:rsidRDefault="00F03499" w:rsidP="00A7561A">
            <w:pPr>
              <w:spacing w:line="276" w:lineRule="auto"/>
              <w:jc w:val="both"/>
            </w:pPr>
            <w:r>
              <w:t>1. Relevant Experience &amp; Track Record</w:t>
            </w:r>
          </w:p>
        </w:tc>
        <w:tc>
          <w:tcPr>
            <w:tcW w:w="1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A0" w14:textId="77777777" w:rsidR="003E4228" w:rsidRDefault="00F03499" w:rsidP="00A7561A">
            <w:pPr>
              <w:spacing w:line="276" w:lineRule="auto"/>
              <w:jc w:val="both"/>
            </w:pPr>
            <w:r>
              <w:t>10%</w:t>
            </w:r>
          </w:p>
        </w:tc>
        <w:tc>
          <w:tcPr>
            <w:tcW w:w="3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A1" w14:textId="77777777" w:rsidR="003E4228" w:rsidRDefault="00F03499" w:rsidP="00A7561A">
            <w:pPr>
              <w:spacing w:line="276" w:lineRule="auto"/>
              <w:jc w:val="both"/>
            </w:pPr>
            <w:r>
              <w:t>Heritage / M&amp;E / heat pump projects</w:t>
            </w:r>
          </w:p>
        </w:tc>
      </w:tr>
      <w:tr w:rsidR="003E4228" w14:paraId="22A28EA6" w14:textId="77777777">
        <w:tc>
          <w:tcPr>
            <w:tcW w:w="44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A3" w14:textId="77777777" w:rsidR="003E4228" w:rsidRDefault="00F03499" w:rsidP="00A7561A">
            <w:pPr>
              <w:spacing w:line="276" w:lineRule="auto"/>
              <w:jc w:val="both"/>
            </w:pPr>
            <w:r>
              <w:t>2. Installation Competence &amp; Methodology</w:t>
            </w:r>
          </w:p>
        </w:tc>
        <w:tc>
          <w:tcPr>
            <w:tcW w:w="1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A4" w14:textId="77777777" w:rsidR="003E4228" w:rsidRDefault="00F03499" w:rsidP="00A7561A">
            <w:pPr>
              <w:spacing w:line="276" w:lineRule="auto"/>
              <w:jc w:val="both"/>
            </w:pPr>
            <w:r>
              <w:t>10%</w:t>
            </w:r>
          </w:p>
        </w:tc>
        <w:tc>
          <w:tcPr>
            <w:tcW w:w="3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A5" w14:textId="77777777" w:rsidR="003E4228" w:rsidRDefault="00F03499" w:rsidP="00A7561A">
            <w:pPr>
              <w:spacing w:line="276" w:lineRule="auto"/>
              <w:jc w:val="both"/>
            </w:pPr>
            <w:r>
              <w:t>Installation methodology, resourcing &amp; commissioning</w:t>
            </w:r>
          </w:p>
        </w:tc>
      </w:tr>
      <w:tr w:rsidR="003E4228" w14:paraId="22A28EAA" w14:textId="77777777">
        <w:tc>
          <w:tcPr>
            <w:tcW w:w="44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A7" w14:textId="77777777" w:rsidR="003E4228" w:rsidRDefault="00F03499" w:rsidP="00A7561A">
            <w:pPr>
              <w:spacing w:line="276" w:lineRule="auto"/>
              <w:jc w:val="both"/>
            </w:pPr>
            <w:r>
              <w:t>3. Heritage &amp; Conservation Sensitivity</w:t>
            </w:r>
          </w:p>
        </w:tc>
        <w:tc>
          <w:tcPr>
            <w:tcW w:w="1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A8" w14:textId="77777777" w:rsidR="003E4228" w:rsidRDefault="00F03499" w:rsidP="00A7561A">
            <w:pPr>
              <w:spacing w:line="276" w:lineRule="auto"/>
              <w:jc w:val="both"/>
            </w:pPr>
            <w:r>
              <w:t>15%</w:t>
            </w:r>
          </w:p>
        </w:tc>
        <w:tc>
          <w:tcPr>
            <w:tcW w:w="3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A9" w14:textId="77777777" w:rsidR="003E4228" w:rsidRDefault="00F03499" w:rsidP="00A7561A">
            <w:pPr>
              <w:spacing w:line="276" w:lineRule="auto"/>
              <w:jc w:val="both"/>
            </w:pPr>
            <w:r>
              <w:t>Compliance with conservation principles</w:t>
            </w:r>
          </w:p>
        </w:tc>
      </w:tr>
      <w:tr w:rsidR="003E4228" w14:paraId="22A28EAE" w14:textId="77777777">
        <w:tc>
          <w:tcPr>
            <w:tcW w:w="44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AB" w14:textId="77777777" w:rsidR="003E4228" w:rsidRDefault="00F03499" w:rsidP="00A7561A">
            <w:pPr>
              <w:spacing w:line="276" w:lineRule="auto"/>
              <w:jc w:val="both"/>
            </w:pPr>
            <w:r>
              <w:t>4. Project Management &amp; Programme</w:t>
            </w:r>
          </w:p>
        </w:tc>
        <w:tc>
          <w:tcPr>
            <w:tcW w:w="1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AC" w14:textId="77777777" w:rsidR="003E4228" w:rsidRDefault="00F03499" w:rsidP="00A7561A">
            <w:pPr>
              <w:spacing w:line="276" w:lineRule="auto"/>
              <w:jc w:val="both"/>
            </w:pPr>
            <w:r>
              <w:t>10%</w:t>
            </w:r>
          </w:p>
        </w:tc>
        <w:tc>
          <w:tcPr>
            <w:tcW w:w="3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AD" w14:textId="77777777" w:rsidR="003E4228" w:rsidRDefault="00F03499" w:rsidP="00A7561A">
            <w:pPr>
              <w:spacing w:line="276" w:lineRule="auto"/>
              <w:jc w:val="both"/>
            </w:pPr>
            <w:r>
              <w:t>Programme, risk, coordination</w:t>
            </w:r>
          </w:p>
        </w:tc>
      </w:tr>
      <w:tr w:rsidR="003E4228" w14:paraId="22A28EB2" w14:textId="77777777">
        <w:tc>
          <w:tcPr>
            <w:tcW w:w="44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AF" w14:textId="77777777" w:rsidR="003E4228" w:rsidRDefault="00F03499" w:rsidP="00A7561A">
            <w:pPr>
              <w:spacing w:line="276" w:lineRule="auto"/>
              <w:jc w:val="both"/>
            </w:pPr>
            <w:r>
              <w:t>5. Environmental Sustainability &amp; Whole</w:t>
            </w:r>
            <w:r>
              <w:rPr>
                <w:rFonts w:ascii="Cambria Math" w:hAnsi="Cambria Math" w:cs="Cambria Math"/>
              </w:rPr>
              <w:t>‑</w:t>
            </w:r>
            <w:r>
              <w:t>Life Cost</w:t>
            </w:r>
          </w:p>
        </w:tc>
        <w:tc>
          <w:tcPr>
            <w:tcW w:w="1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B0" w14:textId="77777777" w:rsidR="003E4228" w:rsidRDefault="00F03499" w:rsidP="00A7561A">
            <w:pPr>
              <w:spacing w:line="276" w:lineRule="auto"/>
              <w:jc w:val="both"/>
            </w:pPr>
            <w:r>
              <w:t>10%</w:t>
            </w:r>
          </w:p>
        </w:tc>
        <w:tc>
          <w:tcPr>
            <w:tcW w:w="3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B1" w14:textId="77777777" w:rsidR="003E4228" w:rsidRDefault="00F03499" w:rsidP="00A7561A">
            <w:pPr>
              <w:spacing w:line="276" w:lineRule="auto"/>
              <w:jc w:val="both"/>
            </w:pPr>
            <w:r>
              <w:t>SPF protection, refrigerant, warranty, PPM, waste, lifecycle inputs</w:t>
            </w:r>
          </w:p>
        </w:tc>
      </w:tr>
      <w:tr w:rsidR="003E4228" w14:paraId="22A28EB6" w14:textId="77777777">
        <w:tc>
          <w:tcPr>
            <w:tcW w:w="44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B3" w14:textId="77777777" w:rsidR="003E4228" w:rsidRDefault="00F03499" w:rsidP="00A7561A">
            <w:pPr>
              <w:spacing w:line="276" w:lineRule="auto"/>
              <w:jc w:val="both"/>
            </w:pPr>
            <w:r>
              <w:t>6. Health, Safety &amp; Quality Assurance</w:t>
            </w:r>
          </w:p>
        </w:tc>
        <w:tc>
          <w:tcPr>
            <w:tcW w:w="12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B4" w14:textId="77777777" w:rsidR="003E4228" w:rsidRDefault="00F03499" w:rsidP="00A7561A">
            <w:pPr>
              <w:spacing w:line="276" w:lineRule="auto"/>
              <w:jc w:val="both"/>
            </w:pPr>
            <w:r>
              <w:t>15%</w:t>
            </w:r>
          </w:p>
        </w:tc>
        <w:tc>
          <w:tcPr>
            <w:tcW w:w="34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B5" w14:textId="77777777" w:rsidR="003E4228" w:rsidRDefault="00F03499" w:rsidP="00A7561A">
            <w:pPr>
              <w:spacing w:line="276" w:lineRule="auto"/>
              <w:jc w:val="both"/>
            </w:pPr>
            <w:r>
              <w:t>H&amp;S plan, quality management</w:t>
            </w:r>
          </w:p>
        </w:tc>
      </w:tr>
      <w:tr w:rsidR="003E4228" w14:paraId="22A28EBA" w14:textId="77777777" w:rsidTr="00146D4C">
        <w:tc>
          <w:tcPr>
            <w:tcW w:w="4400"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22A28EB7" w14:textId="77777777" w:rsidR="003E4228" w:rsidRDefault="00F03499" w:rsidP="00A7561A">
            <w:pPr>
              <w:spacing w:line="276" w:lineRule="auto"/>
              <w:jc w:val="both"/>
            </w:pPr>
            <w:r>
              <w:rPr>
                <w:b/>
                <w:bCs/>
              </w:rPr>
              <w:t>PRICE (40%)</w:t>
            </w:r>
          </w:p>
        </w:tc>
        <w:tc>
          <w:tcPr>
            <w:tcW w:w="1200"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22A28EB8" w14:textId="77777777" w:rsidR="003E4228" w:rsidRDefault="00F03499" w:rsidP="00A7561A">
            <w:pPr>
              <w:spacing w:line="276" w:lineRule="auto"/>
              <w:jc w:val="both"/>
            </w:pPr>
            <w:r>
              <w:t>40%</w:t>
            </w:r>
          </w:p>
        </w:tc>
        <w:tc>
          <w:tcPr>
            <w:tcW w:w="3426"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22A28EB9" w14:textId="77777777" w:rsidR="003E4228" w:rsidRDefault="00F03499" w:rsidP="00A7561A">
            <w:pPr>
              <w:spacing w:line="276" w:lineRule="auto"/>
              <w:jc w:val="both"/>
            </w:pPr>
            <w:r>
              <w:t>Tendered lump</w:t>
            </w:r>
            <w:r>
              <w:rPr>
                <w:rFonts w:ascii="Cambria Math" w:hAnsi="Cambria Math" w:cs="Cambria Math"/>
              </w:rPr>
              <w:t>‑</w:t>
            </w:r>
            <w:r>
              <w:t>sum price</w:t>
            </w:r>
          </w:p>
        </w:tc>
      </w:tr>
      <w:tr w:rsidR="003E4228" w14:paraId="22A28EBE" w14:textId="77777777" w:rsidTr="00146D4C">
        <w:tc>
          <w:tcPr>
            <w:tcW w:w="4400"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22A28EBB" w14:textId="77777777" w:rsidR="003E4228" w:rsidRDefault="00F03499" w:rsidP="00A7561A">
            <w:pPr>
              <w:spacing w:line="276" w:lineRule="auto"/>
              <w:jc w:val="both"/>
            </w:pPr>
            <w:r>
              <w:rPr>
                <w:b/>
                <w:bCs/>
              </w:rPr>
              <w:t>TOTAL</w:t>
            </w:r>
          </w:p>
        </w:tc>
        <w:tc>
          <w:tcPr>
            <w:tcW w:w="1200"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22A28EBC" w14:textId="77777777" w:rsidR="003E4228" w:rsidRDefault="00F03499" w:rsidP="00A7561A">
            <w:pPr>
              <w:spacing w:line="276" w:lineRule="auto"/>
              <w:jc w:val="both"/>
            </w:pPr>
            <w:r>
              <w:rPr>
                <w:b/>
                <w:bCs/>
              </w:rPr>
              <w:t>100%</w:t>
            </w:r>
          </w:p>
        </w:tc>
        <w:tc>
          <w:tcPr>
            <w:tcW w:w="3426" w:type="dxa"/>
            <w:tcBorders>
              <w:top w:val="single" w:sz="1" w:space="0" w:color="BFBFBF"/>
              <w:left w:val="single" w:sz="1" w:space="0" w:color="BFBFBF"/>
              <w:bottom w:val="single" w:sz="1" w:space="0" w:color="BFBFBF"/>
              <w:right w:val="single" w:sz="1" w:space="0" w:color="BFBFBF"/>
            </w:tcBorders>
            <w:shd w:val="clear" w:color="auto" w:fill="BDE3D6" w:themeFill="accent6"/>
            <w:tcMar>
              <w:top w:w="70" w:type="dxa"/>
              <w:left w:w="110" w:type="dxa"/>
              <w:bottom w:w="70" w:type="dxa"/>
              <w:right w:w="110" w:type="dxa"/>
            </w:tcMar>
            <w:vAlign w:val="center"/>
          </w:tcPr>
          <w:p w14:paraId="22A28EBD" w14:textId="77777777" w:rsidR="003E4228" w:rsidRDefault="003E4228" w:rsidP="00A7561A">
            <w:pPr>
              <w:spacing w:line="276" w:lineRule="auto"/>
              <w:jc w:val="both"/>
            </w:pPr>
          </w:p>
        </w:tc>
      </w:tr>
    </w:tbl>
    <w:p w14:paraId="22A28EBF" w14:textId="77777777" w:rsidR="003E4228" w:rsidRDefault="003E4228" w:rsidP="00A7561A">
      <w:pPr>
        <w:spacing w:after="60" w:line="276" w:lineRule="auto"/>
        <w:jc w:val="both"/>
      </w:pPr>
    </w:p>
    <w:p w14:paraId="3DF9FA32" w14:textId="77777777" w:rsidR="00146D4C" w:rsidRDefault="00146D4C" w:rsidP="00A7561A">
      <w:pPr>
        <w:jc w:val="both"/>
        <w:rPr>
          <w:rFonts w:asciiTheme="majorHAnsi" w:eastAsiaTheme="majorEastAsia" w:hAnsiTheme="majorHAnsi" w:cstheme="majorBidi"/>
          <w:color w:val="1B7758" w:themeColor="accent1" w:themeShade="BF"/>
          <w:sz w:val="32"/>
          <w:szCs w:val="32"/>
        </w:rPr>
      </w:pPr>
      <w:r>
        <w:br w:type="page"/>
      </w:r>
    </w:p>
    <w:p w14:paraId="22A28EC0" w14:textId="50DCB433" w:rsidR="003E4228" w:rsidRDefault="00F03499" w:rsidP="00A7561A">
      <w:pPr>
        <w:pStyle w:val="Heading2"/>
        <w:spacing w:before="0" w:line="276" w:lineRule="auto"/>
        <w:jc w:val="both"/>
      </w:pPr>
      <w:r>
        <w:lastRenderedPageBreak/>
        <w:t>3. Scoring Methodology</w:t>
      </w:r>
    </w:p>
    <w:p w14:paraId="30C037E9" w14:textId="77777777" w:rsidR="00146D4C" w:rsidRDefault="00146D4C" w:rsidP="00A7561A">
      <w:pPr>
        <w:spacing w:after="100" w:line="276" w:lineRule="auto"/>
        <w:jc w:val="both"/>
      </w:pPr>
    </w:p>
    <w:p w14:paraId="22A28EC1" w14:textId="3A0018B2" w:rsidR="003E4228" w:rsidRDefault="00F03499" w:rsidP="00A7561A">
      <w:pPr>
        <w:spacing w:after="100" w:line="276" w:lineRule="auto"/>
        <w:jc w:val="both"/>
      </w:pPr>
      <w:r>
        <w:t>Each technical sub</w:t>
      </w:r>
      <w:r>
        <w:rPr>
          <w:rFonts w:ascii="Cambria Math" w:hAnsi="Cambria Math" w:cs="Cambria Math"/>
        </w:rPr>
        <w:t>‑</w:t>
      </w:r>
      <w:r>
        <w:t>criterion shall be scored on a scale of 0</w:t>
      </w:r>
      <w:r>
        <w:rPr>
          <w:rFonts w:ascii="Aptos" w:hAnsi="Aptos" w:cs="Aptos"/>
        </w:rPr>
        <w:t>–</w:t>
      </w:r>
      <w:r>
        <w:t>10 by the evaluation panel. The raw score shall be multiplied by the weighting to produce a weighted score. The total technical score and the price score shall be combined to produce an overall MEAT score out of 100.</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7526"/>
      </w:tblGrid>
      <w:tr w:rsidR="003E4228" w14:paraId="22A28EC4" w14:textId="77777777" w:rsidTr="00146D4C">
        <w:trPr>
          <w:tblHeader/>
        </w:trPr>
        <w:tc>
          <w:tcPr>
            <w:tcW w:w="15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EC2" w14:textId="77777777" w:rsidR="003E4228" w:rsidRDefault="00F03499" w:rsidP="00A7561A">
            <w:pPr>
              <w:spacing w:line="276" w:lineRule="auto"/>
              <w:jc w:val="both"/>
            </w:pPr>
            <w:r>
              <w:rPr>
                <w:b/>
                <w:bCs/>
                <w:color w:val="FFFFFF"/>
              </w:rPr>
              <w:t>Score</w:t>
            </w:r>
          </w:p>
        </w:tc>
        <w:tc>
          <w:tcPr>
            <w:tcW w:w="75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EC3" w14:textId="77777777" w:rsidR="003E4228" w:rsidRDefault="00F03499" w:rsidP="00A7561A">
            <w:pPr>
              <w:spacing w:line="276" w:lineRule="auto"/>
              <w:jc w:val="both"/>
            </w:pPr>
            <w:r>
              <w:rPr>
                <w:b/>
                <w:bCs/>
                <w:color w:val="FFFFFF"/>
              </w:rPr>
              <w:t>Descriptor</w:t>
            </w:r>
          </w:p>
        </w:tc>
      </w:tr>
      <w:tr w:rsidR="003E4228" w14:paraId="22A28EC7"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C5" w14:textId="77777777" w:rsidR="003E4228" w:rsidRDefault="00F03499" w:rsidP="00A7561A">
            <w:pPr>
              <w:spacing w:line="276" w:lineRule="auto"/>
              <w:jc w:val="both"/>
            </w:pPr>
            <w:r>
              <w:rPr>
                <w:b/>
                <w:bCs/>
              </w:rPr>
              <w:t>10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C6" w14:textId="3921C96A" w:rsidR="003E4228" w:rsidRDefault="00F03499" w:rsidP="00A7561A">
            <w:pPr>
              <w:spacing w:line="276" w:lineRule="auto"/>
              <w:jc w:val="both"/>
            </w:pPr>
            <w:r>
              <w:rPr>
                <w:b/>
                <w:bCs/>
              </w:rPr>
              <w:t>Excellent</w:t>
            </w:r>
            <w:r w:rsidR="00AF7398">
              <w:rPr>
                <w:b/>
                <w:bCs/>
              </w:rPr>
              <w:t>:</w:t>
            </w:r>
            <w:r>
              <w:t xml:space="preserve"> </w:t>
            </w:r>
            <w:r w:rsidR="00AF7398">
              <w:t>F</w:t>
            </w:r>
            <w:r>
              <w:t>ully addresses all aspects; clear evidence; demonstrably exceeds requirements.</w:t>
            </w:r>
          </w:p>
        </w:tc>
      </w:tr>
      <w:tr w:rsidR="003E4228" w14:paraId="22A28ECA"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C8" w14:textId="77777777" w:rsidR="003E4228" w:rsidRDefault="00F03499" w:rsidP="00A7561A">
            <w:pPr>
              <w:spacing w:line="276" w:lineRule="auto"/>
              <w:jc w:val="both"/>
            </w:pPr>
            <w:r>
              <w:rPr>
                <w:b/>
                <w:bCs/>
              </w:rPr>
              <w:t>7–9</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C9" w14:textId="688D152C" w:rsidR="003E4228" w:rsidRDefault="00F03499" w:rsidP="00A7561A">
            <w:pPr>
              <w:spacing w:line="276" w:lineRule="auto"/>
              <w:jc w:val="both"/>
            </w:pPr>
            <w:r>
              <w:rPr>
                <w:b/>
                <w:bCs/>
              </w:rPr>
              <w:t>Good</w:t>
            </w:r>
            <w:r w:rsidR="00AF7398">
              <w:rPr>
                <w:b/>
                <w:bCs/>
              </w:rPr>
              <w:t xml:space="preserve">: </w:t>
            </w:r>
            <w:r w:rsidR="00AF7398">
              <w:t>Addr</w:t>
            </w:r>
            <w:r>
              <w:t>esses most aspects with good evidence; minor omissions.</w:t>
            </w:r>
          </w:p>
        </w:tc>
      </w:tr>
      <w:tr w:rsidR="003E4228" w14:paraId="22A28ECD"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CB" w14:textId="77777777" w:rsidR="003E4228" w:rsidRDefault="00F03499" w:rsidP="00A7561A">
            <w:pPr>
              <w:spacing w:line="276" w:lineRule="auto"/>
              <w:jc w:val="both"/>
            </w:pPr>
            <w:r>
              <w:rPr>
                <w:b/>
                <w:bCs/>
              </w:rPr>
              <w:t>4–6</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CC" w14:textId="41419CE8" w:rsidR="003E4228" w:rsidRDefault="00F03499" w:rsidP="00A7561A">
            <w:pPr>
              <w:spacing w:line="276" w:lineRule="auto"/>
              <w:jc w:val="both"/>
            </w:pPr>
            <w:r>
              <w:rPr>
                <w:b/>
                <w:bCs/>
              </w:rPr>
              <w:t>Adequate</w:t>
            </w:r>
            <w:r w:rsidR="00AF7398">
              <w:rPr>
                <w:b/>
                <w:bCs/>
              </w:rPr>
              <w:t xml:space="preserve">: </w:t>
            </w:r>
            <w:r w:rsidR="00AF7398">
              <w:t>P</w:t>
            </w:r>
            <w:r>
              <w:t>artially addressed; limited evidence; satisfactory but not compelling.</w:t>
            </w:r>
          </w:p>
        </w:tc>
      </w:tr>
      <w:tr w:rsidR="003E4228" w14:paraId="22A28ED0"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CE" w14:textId="77777777" w:rsidR="003E4228" w:rsidRDefault="00F03499" w:rsidP="00A7561A">
            <w:pPr>
              <w:spacing w:line="276" w:lineRule="auto"/>
              <w:jc w:val="both"/>
            </w:pPr>
            <w:r>
              <w:rPr>
                <w:b/>
                <w:bCs/>
              </w:rPr>
              <w:t>1–3</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CF" w14:textId="7C9BD5D9" w:rsidR="003E4228" w:rsidRDefault="00F03499" w:rsidP="00A7561A">
            <w:pPr>
              <w:spacing w:line="276" w:lineRule="auto"/>
              <w:jc w:val="both"/>
            </w:pPr>
            <w:r>
              <w:rPr>
                <w:b/>
                <w:bCs/>
              </w:rPr>
              <w:t>Poor</w:t>
            </w:r>
            <w:r w:rsidR="00AF7398">
              <w:rPr>
                <w:b/>
                <w:bCs/>
              </w:rPr>
              <w:t xml:space="preserve">: </w:t>
            </w:r>
            <w:r w:rsidR="00AF7398">
              <w:t>S</w:t>
            </w:r>
            <w:r>
              <w:t>ignificant gaps; weak evidence; concerns about capability.</w:t>
            </w:r>
          </w:p>
        </w:tc>
      </w:tr>
      <w:tr w:rsidR="003E4228" w14:paraId="22A28ED3"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D1" w14:textId="77777777" w:rsidR="003E4228" w:rsidRDefault="00F03499" w:rsidP="00A7561A">
            <w:pPr>
              <w:spacing w:line="276" w:lineRule="auto"/>
              <w:jc w:val="both"/>
            </w:pPr>
            <w:r>
              <w:rPr>
                <w:b/>
                <w:bCs/>
              </w:rPr>
              <w:t>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D2" w14:textId="0990AA55" w:rsidR="003E4228" w:rsidRDefault="00F03499" w:rsidP="00A7561A">
            <w:pPr>
              <w:spacing w:line="276" w:lineRule="auto"/>
              <w:jc w:val="both"/>
            </w:pPr>
            <w:r>
              <w:rPr>
                <w:b/>
                <w:bCs/>
              </w:rPr>
              <w:t>Unacceptable /Not Addressed</w:t>
            </w:r>
            <w:r w:rsidR="00AF7398">
              <w:rPr>
                <w:b/>
                <w:bCs/>
              </w:rPr>
              <w:t xml:space="preserve">: </w:t>
            </w:r>
            <w:r w:rsidR="00AF7398">
              <w:t>F</w:t>
            </w:r>
            <w:r>
              <w:t>ails to address the criterion or response is non</w:t>
            </w:r>
            <w:r>
              <w:rPr>
                <w:rFonts w:ascii="Cambria Math" w:hAnsi="Cambria Math" w:cs="Cambria Math"/>
              </w:rPr>
              <w:t>‑</w:t>
            </w:r>
            <w:r>
              <w:t>compliant.</w:t>
            </w:r>
          </w:p>
        </w:tc>
      </w:tr>
    </w:tbl>
    <w:p w14:paraId="5965766C" w14:textId="77777777" w:rsidR="00146D4C" w:rsidRDefault="00146D4C" w:rsidP="00A7561A">
      <w:pPr>
        <w:spacing w:line="276" w:lineRule="auto"/>
        <w:jc w:val="both"/>
      </w:pPr>
    </w:p>
    <w:p w14:paraId="22A28ED4" w14:textId="36AB0181" w:rsidR="003E4228" w:rsidRDefault="00F03499" w:rsidP="00A7561A">
      <w:pPr>
        <w:spacing w:line="276" w:lineRule="auto"/>
        <w:jc w:val="both"/>
      </w:pPr>
      <w:r>
        <w:t>A minimum threshold score of 4/10 must be achieved on Criterion 3 (Heritage &amp; Conservation Sensitivity) and Criterion 6 (Health, Safety &amp; Quality Assurance). Tenders falling below this threshold on either criterion shall be deemed non</w:t>
      </w:r>
      <w:r>
        <w:rPr>
          <w:rFonts w:ascii="Cambria Math" w:hAnsi="Cambria Math" w:cs="Cambria Math"/>
        </w:rPr>
        <w:t>‑</w:t>
      </w:r>
      <w:r>
        <w:t>compliant and excluded from further evaluation.</w:t>
      </w:r>
    </w:p>
    <w:p w14:paraId="22A28ED5" w14:textId="77777777" w:rsidR="003E4228" w:rsidRDefault="00F03499" w:rsidP="00A7561A">
      <w:pPr>
        <w:spacing w:line="276" w:lineRule="auto"/>
        <w:jc w:val="both"/>
      </w:pPr>
      <w:r>
        <w:br w:type="page"/>
      </w:r>
    </w:p>
    <w:p w14:paraId="22A28ED6" w14:textId="0CCDFDA3" w:rsidR="003E4228" w:rsidRDefault="00F03499" w:rsidP="00A7561A">
      <w:pPr>
        <w:pStyle w:val="Heading2"/>
        <w:spacing w:before="0" w:line="276" w:lineRule="auto"/>
        <w:jc w:val="both"/>
      </w:pPr>
      <w:r>
        <w:lastRenderedPageBreak/>
        <w:t>4. Criterion 1</w:t>
      </w:r>
      <w:r w:rsidR="00AF7398">
        <w:t>:</w:t>
      </w:r>
      <w:r>
        <w:t xml:space="preserve"> Relevant Experience &amp; Track Record (10%)</w:t>
      </w:r>
    </w:p>
    <w:p w14:paraId="67E1A840" w14:textId="77777777" w:rsidR="00146D4C" w:rsidRDefault="00146D4C" w:rsidP="00A7561A">
      <w:pPr>
        <w:spacing w:after="100" w:line="276" w:lineRule="auto"/>
        <w:jc w:val="both"/>
      </w:pPr>
    </w:p>
    <w:p w14:paraId="22A28ED7" w14:textId="247CEECB" w:rsidR="003E4228" w:rsidRDefault="00F03499" w:rsidP="00A7561A">
      <w:pPr>
        <w:spacing w:after="100" w:line="276" w:lineRule="auto"/>
        <w:jc w:val="both"/>
      </w:pPr>
      <w:r>
        <w:t>This criterion assesses the tenderer’s demonstrated capability in delivering M&amp;E projects of similar scale, complexity and context. Given the heritage setting and the use of a flammable refrigerant, experience in both heat pump installations and works within protected structures is essential. Tenderers who cannot demonstrate relevant experience in both areas will score poorly regardless of general M&amp;E capability.</w:t>
      </w:r>
    </w:p>
    <w:p w14:paraId="4D81DBDB" w14:textId="77777777" w:rsidR="00146D4C" w:rsidRDefault="00146D4C" w:rsidP="00A7561A">
      <w:pPr>
        <w:spacing w:after="100" w:line="276" w:lineRule="auto"/>
        <w:jc w:val="both"/>
      </w:pPr>
    </w:p>
    <w:p w14:paraId="22A28ED8" w14:textId="77777777" w:rsidR="003E4228" w:rsidRDefault="00F03499" w:rsidP="00A7561A">
      <w:pPr>
        <w:pStyle w:val="Heading3"/>
        <w:spacing w:before="0" w:line="276" w:lineRule="auto"/>
        <w:jc w:val="both"/>
      </w:pPr>
      <w:r>
        <w:t>4.1 What Tenderers Must Address</w:t>
      </w:r>
    </w:p>
    <w:p w14:paraId="22A28ED9" w14:textId="60DE75E0" w:rsidR="003E4228" w:rsidRDefault="00F03499" w:rsidP="00A7561A">
      <w:pPr>
        <w:pStyle w:val="ListParagraph"/>
        <w:numPr>
          <w:ilvl w:val="0"/>
          <w:numId w:val="2"/>
        </w:numPr>
        <w:spacing w:after="60" w:line="276" w:lineRule="auto"/>
        <w:jc w:val="both"/>
      </w:pPr>
      <w:r>
        <w:t xml:space="preserve">A minimum of three completed M&amp;E projects delivered within the last five years </w:t>
      </w:r>
      <w:r w:rsidR="006246BE" w:rsidRPr="00A34EA9">
        <w:t>[</w:t>
      </w:r>
      <w:r w:rsidRPr="00A34EA9">
        <w:t xml:space="preserve">2021–2026], </w:t>
      </w:r>
      <w:r>
        <w:t>demonstrating comparable scope and value. For each</w:t>
      </w:r>
      <w:r w:rsidR="002A3AFB">
        <w:t xml:space="preserve"> project the following must be provided:</w:t>
      </w:r>
      <w:r>
        <w:t xml:space="preserve"> project name and location; client name and contact for reference; description of the M&amp;E works; contract value; completion date; and relevance to this contract.</w:t>
      </w:r>
    </w:p>
    <w:p w14:paraId="22A28EDA" w14:textId="77777777" w:rsidR="003E4228" w:rsidRDefault="00F03499" w:rsidP="00A7561A">
      <w:pPr>
        <w:pStyle w:val="ListParagraph"/>
        <w:numPr>
          <w:ilvl w:val="0"/>
          <w:numId w:val="2"/>
        </w:numPr>
        <w:spacing w:after="60" w:line="276" w:lineRule="auto"/>
        <w:jc w:val="both"/>
      </w:pPr>
      <w:r>
        <w:t>Of the three, at least one must involve installation of a heat pump system (air, ground or water source) in a non</w:t>
      </w:r>
      <w:r>
        <w:rPr>
          <w:rFonts w:ascii="Cambria Math" w:hAnsi="Cambria Math" w:cs="Cambria Math"/>
        </w:rPr>
        <w:t>‑</w:t>
      </w:r>
      <w:r>
        <w:t xml:space="preserve">domestic or public building, with a minimum contract value of </w:t>
      </w:r>
      <w:r>
        <w:rPr>
          <w:rFonts w:ascii="Aptos" w:hAnsi="Aptos" w:cs="Aptos"/>
        </w:rPr>
        <w:t>€</w:t>
      </w:r>
      <w:r>
        <w:t xml:space="preserve">100,000 (the estimated value of the heat pump works is </w:t>
      </w:r>
      <w:r>
        <w:rPr>
          <w:rFonts w:ascii="Aptos" w:hAnsi="Aptos" w:cs="Aptos"/>
        </w:rPr>
        <w:t>€</w:t>
      </w:r>
      <w:r>
        <w:t>286,700 ex VAT). The tenderer must describe the technology, building type, heating load served, and commissioning outcome. Experience with R290 / flammable</w:t>
      </w:r>
      <w:r>
        <w:rPr>
          <w:rFonts w:ascii="Cambria Math" w:hAnsi="Cambria Math" w:cs="Cambria Math"/>
        </w:rPr>
        <w:t>‑</w:t>
      </w:r>
      <w:r>
        <w:t>refrigerant systems should be highlighted where held.</w:t>
      </w:r>
    </w:p>
    <w:p w14:paraId="22A28EDB" w14:textId="77777777" w:rsidR="003E4228" w:rsidRDefault="00F03499" w:rsidP="00A7561A">
      <w:pPr>
        <w:pStyle w:val="ListParagraph"/>
        <w:numPr>
          <w:ilvl w:val="0"/>
          <w:numId w:val="2"/>
        </w:numPr>
        <w:spacing w:after="60" w:line="276" w:lineRule="auto"/>
        <w:jc w:val="both"/>
      </w:pPr>
      <w:r>
        <w:t>At least one of the three must involve M&amp;E or building</w:t>
      </w:r>
      <w:r>
        <w:rPr>
          <w:rFonts w:ascii="Cambria Math" w:hAnsi="Cambria Math" w:cs="Cambria Math"/>
        </w:rPr>
        <w:t>‑</w:t>
      </w:r>
      <w:r>
        <w:t>services works within a Protected Structure, National Monument, or building of equivalent heritage significance, describing the conservation constraints, how they were managed, and engagement with planning authorities or conservation advisors.</w:t>
      </w:r>
    </w:p>
    <w:p w14:paraId="22A28EDC" w14:textId="07039CF8" w:rsidR="003E4228" w:rsidRDefault="00F03499" w:rsidP="00A7561A">
      <w:pPr>
        <w:pStyle w:val="ListParagraph"/>
        <w:numPr>
          <w:ilvl w:val="0"/>
          <w:numId w:val="2"/>
        </w:numPr>
        <w:spacing w:after="60" w:line="276" w:lineRule="auto"/>
        <w:jc w:val="both"/>
      </w:pPr>
      <w:r>
        <w:t>A statement of annual M&amp;E turnover for the last three financial years. The tenderer must confirm that the estimated contract value does not exceed 50% of their average annual M&amp;E turnover</w:t>
      </w:r>
      <w:r w:rsidR="007E3CBA">
        <w:t>.</w:t>
      </w:r>
    </w:p>
    <w:p w14:paraId="22A28EDD" w14:textId="77777777" w:rsidR="003E4228" w:rsidRDefault="00F03499" w:rsidP="00A7561A">
      <w:pPr>
        <w:pStyle w:val="ListParagraph"/>
        <w:numPr>
          <w:ilvl w:val="0"/>
          <w:numId w:val="2"/>
        </w:numPr>
        <w:spacing w:after="60" w:line="276" w:lineRule="auto"/>
        <w:jc w:val="both"/>
      </w:pPr>
      <w:r>
        <w:t>Relevant accreditations and memberships: CIRI registration; membership of ACEI, Engineers Ireland or CIBSE; SEAI Registered Heat Pump Installer status; and any conservation</w:t>
      </w:r>
      <w:r>
        <w:rPr>
          <w:rFonts w:ascii="Cambria Math" w:hAnsi="Cambria Math" w:cs="Cambria Math"/>
        </w:rPr>
        <w:t>‑</w:t>
      </w:r>
      <w:r>
        <w:t>related affiliations.</w:t>
      </w:r>
    </w:p>
    <w:p w14:paraId="22A28EDE" w14:textId="77777777" w:rsidR="003E4228" w:rsidRDefault="00F03499" w:rsidP="00A7561A">
      <w:pPr>
        <w:pStyle w:val="ListParagraph"/>
        <w:numPr>
          <w:ilvl w:val="0"/>
          <w:numId w:val="2"/>
        </w:numPr>
        <w:spacing w:after="60" w:line="276" w:lineRule="auto"/>
        <w:jc w:val="both"/>
      </w:pPr>
      <w:r>
        <w:t>A brief organisational statement (max one page): company structure, core M&amp;E disciplines, number of directly employed operatives, and geographic operating area.</w:t>
      </w:r>
    </w:p>
    <w:p w14:paraId="61BEC0F5" w14:textId="77777777" w:rsidR="00146D4C" w:rsidRDefault="00146D4C" w:rsidP="00A7561A">
      <w:pPr>
        <w:jc w:val="both"/>
        <w:rPr>
          <w:rFonts w:asciiTheme="majorHAnsi" w:eastAsiaTheme="majorEastAsia" w:hAnsiTheme="majorHAnsi" w:cstheme="majorBidi"/>
          <w:color w:val="1B7758" w:themeColor="accent1" w:themeShade="BF"/>
          <w:sz w:val="28"/>
          <w:szCs w:val="28"/>
        </w:rPr>
      </w:pPr>
      <w:r>
        <w:br w:type="page"/>
      </w:r>
    </w:p>
    <w:p w14:paraId="22A28EDF" w14:textId="09DC4138" w:rsidR="003E4228" w:rsidRDefault="00F03499" w:rsidP="00A7561A">
      <w:pPr>
        <w:pStyle w:val="Heading3"/>
        <w:spacing w:before="0" w:line="276" w:lineRule="auto"/>
        <w:jc w:val="both"/>
      </w:pPr>
      <w:r>
        <w:lastRenderedPageBreak/>
        <w:t>4.2 Scoring Guidance</w:t>
      </w:r>
      <w:r w:rsidR="00AF7398">
        <w:t>:</w:t>
      </w:r>
      <w:r>
        <w:t xml:space="preserve"> Criterion 1</w:t>
      </w:r>
    </w:p>
    <w:p w14:paraId="2B4C920C" w14:textId="77777777" w:rsidR="00146D4C" w:rsidRPr="00146D4C" w:rsidRDefault="00146D4C" w:rsidP="00A7561A">
      <w:pPr>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7526"/>
      </w:tblGrid>
      <w:tr w:rsidR="003E4228" w14:paraId="22A28EE2" w14:textId="77777777" w:rsidTr="00146D4C">
        <w:trPr>
          <w:tblHeader/>
        </w:trPr>
        <w:tc>
          <w:tcPr>
            <w:tcW w:w="15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EE0" w14:textId="77777777" w:rsidR="003E4228" w:rsidRDefault="00F03499" w:rsidP="00A7561A">
            <w:pPr>
              <w:spacing w:line="276" w:lineRule="auto"/>
              <w:jc w:val="both"/>
            </w:pPr>
            <w:r>
              <w:rPr>
                <w:b/>
                <w:bCs/>
                <w:color w:val="FFFFFF"/>
              </w:rPr>
              <w:t>Score</w:t>
            </w:r>
          </w:p>
        </w:tc>
        <w:tc>
          <w:tcPr>
            <w:tcW w:w="75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EE1" w14:textId="77777777" w:rsidR="003E4228" w:rsidRDefault="00F03499" w:rsidP="00A7561A">
            <w:pPr>
              <w:spacing w:line="276" w:lineRule="auto"/>
              <w:jc w:val="both"/>
            </w:pPr>
            <w:r>
              <w:rPr>
                <w:b/>
                <w:bCs/>
                <w:color w:val="FFFFFF"/>
              </w:rPr>
              <w:t>Descriptor</w:t>
            </w:r>
          </w:p>
        </w:tc>
      </w:tr>
      <w:tr w:rsidR="003E4228" w14:paraId="22A28EE5"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E3" w14:textId="77777777" w:rsidR="003E4228" w:rsidRDefault="00F03499" w:rsidP="00A7561A">
            <w:pPr>
              <w:spacing w:line="276" w:lineRule="auto"/>
              <w:jc w:val="both"/>
            </w:pPr>
            <w:r>
              <w:rPr>
                <w:b/>
                <w:bCs/>
              </w:rPr>
              <w:t>10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E4" w14:textId="77777777" w:rsidR="003E4228" w:rsidRDefault="00F03499" w:rsidP="00A7561A">
            <w:pPr>
              <w:spacing w:line="276" w:lineRule="auto"/>
              <w:jc w:val="both"/>
            </w:pPr>
            <w:r>
              <w:t>Three strong, directly comparable references including both a heritage M&amp;E project and a heat pump installation; excellent verifiable outcomes; strong financial standing; full CIRI and SEAI accreditation demonstrated.</w:t>
            </w:r>
          </w:p>
        </w:tc>
      </w:tr>
      <w:tr w:rsidR="003E4228" w14:paraId="22A28EE8"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E6" w14:textId="77777777" w:rsidR="003E4228" w:rsidRDefault="00F03499" w:rsidP="00A7561A">
            <w:pPr>
              <w:spacing w:line="276" w:lineRule="auto"/>
              <w:jc w:val="both"/>
            </w:pPr>
            <w:r>
              <w:rPr>
                <w:b/>
                <w:bCs/>
              </w:rPr>
              <w:t>7–9</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E7" w14:textId="77777777" w:rsidR="003E4228" w:rsidRDefault="00F03499" w:rsidP="00A7561A">
            <w:pPr>
              <w:spacing w:line="276" w:lineRule="auto"/>
              <w:jc w:val="both"/>
            </w:pPr>
            <w:r>
              <w:t>Good references; at least one heritage project and one heat pump project evidenced; minor gaps in comparability or accreditation detail.</w:t>
            </w:r>
          </w:p>
        </w:tc>
      </w:tr>
      <w:tr w:rsidR="003E4228" w14:paraId="22A28EEB"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E9" w14:textId="77777777" w:rsidR="003E4228" w:rsidRDefault="00F03499" w:rsidP="00A7561A">
            <w:pPr>
              <w:spacing w:line="276" w:lineRule="auto"/>
              <w:jc w:val="both"/>
            </w:pPr>
            <w:r>
              <w:rPr>
                <w:b/>
                <w:bCs/>
              </w:rPr>
              <w:t>4–6</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EA" w14:textId="77777777" w:rsidR="003E4228" w:rsidRDefault="00F03499" w:rsidP="00A7561A">
            <w:pPr>
              <w:spacing w:line="276" w:lineRule="auto"/>
              <w:jc w:val="both"/>
            </w:pPr>
            <w:r>
              <w:t>References provided but limited direct comparability; heritage or heat pump experience evidenced but not both; satisfactory financial standing.</w:t>
            </w:r>
          </w:p>
        </w:tc>
      </w:tr>
      <w:tr w:rsidR="003E4228" w14:paraId="22A28EEE"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EC" w14:textId="77777777" w:rsidR="003E4228" w:rsidRDefault="00F03499" w:rsidP="00A7561A">
            <w:pPr>
              <w:spacing w:line="276" w:lineRule="auto"/>
              <w:jc w:val="both"/>
            </w:pPr>
            <w:r>
              <w:rPr>
                <w:b/>
                <w:bCs/>
              </w:rPr>
              <w:t>1–3</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ED" w14:textId="77777777" w:rsidR="003E4228" w:rsidRDefault="00F03499" w:rsidP="00A7561A">
            <w:pPr>
              <w:spacing w:line="276" w:lineRule="auto"/>
              <w:jc w:val="both"/>
            </w:pPr>
            <w:r>
              <w:t>Weak references; little or no heritage or heat pump experience; concerns about financial capacity or accreditation.</w:t>
            </w:r>
          </w:p>
        </w:tc>
      </w:tr>
      <w:tr w:rsidR="003E4228" w14:paraId="22A28EF1"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EF" w14:textId="77777777" w:rsidR="003E4228" w:rsidRDefault="00F03499" w:rsidP="00A7561A">
            <w:pPr>
              <w:spacing w:line="276" w:lineRule="auto"/>
              <w:jc w:val="both"/>
            </w:pPr>
            <w:r>
              <w:rPr>
                <w:b/>
                <w:bCs/>
              </w:rPr>
              <w:t>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EF0" w14:textId="77777777" w:rsidR="003E4228" w:rsidRDefault="00F03499" w:rsidP="00A7561A">
            <w:pPr>
              <w:spacing w:line="276" w:lineRule="auto"/>
              <w:jc w:val="both"/>
            </w:pPr>
            <w:r>
              <w:t>No references, or references wholly unrelated to M&amp;E works; fails minimum experience threshold.</w:t>
            </w:r>
          </w:p>
        </w:tc>
      </w:tr>
    </w:tbl>
    <w:p w14:paraId="22A28EF2" w14:textId="30A990D7" w:rsidR="003E4228" w:rsidRDefault="00F03499" w:rsidP="00A7561A">
      <w:pPr>
        <w:spacing w:line="276" w:lineRule="auto"/>
        <w:jc w:val="both"/>
      </w:pPr>
      <w:r>
        <w:rPr>
          <w:i/>
          <w:iCs/>
        </w:rPr>
        <w:t xml:space="preserve">Maximum page allowance: 4 pages A4. Project reference sheets may be appended (max 2 pages per project). </w:t>
      </w:r>
    </w:p>
    <w:p w14:paraId="22A28EF3" w14:textId="77777777" w:rsidR="003E4228" w:rsidRDefault="00F03499" w:rsidP="00A7561A">
      <w:pPr>
        <w:spacing w:line="276" w:lineRule="auto"/>
        <w:jc w:val="both"/>
      </w:pPr>
      <w:r>
        <w:br w:type="page"/>
      </w:r>
    </w:p>
    <w:p w14:paraId="22A28EF4" w14:textId="79D0A957" w:rsidR="003E4228" w:rsidRDefault="00F03499" w:rsidP="00A7561A">
      <w:pPr>
        <w:pStyle w:val="Heading2"/>
        <w:spacing w:before="0" w:line="276" w:lineRule="auto"/>
        <w:jc w:val="both"/>
      </w:pPr>
      <w:r>
        <w:lastRenderedPageBreak/>
        <w:t>5. Criterion 2</w:t>
      </w:r>
      <w:r w:rsidR="00AF7398">
        <w:t>:</w:t>
      </w:r>
      <w:r>
        <w:t xml:space="preserve"> Installation Competence &amp; Methodology (10%)</w:t>
      </w:r>
    </w:p>
    <w:p w14:paraId="22A93C91" w14:textId="77777777" w:rsidR="00760BB2" w:rsidRPr="00760BB2" w:rsidRDefault="00760BB2" w:rsidP="00A7561A">
      <w:pPr>
        <w:jc w:val="both"/>
      </w:pPr>
    </w:p>
    <w:p w14:paraId="22A28EF5" w14:textId="3B4E008E" w:rsidR="003E4228" w:rsidRDefault="00F03499" w:rsidP="00A7561A">
      <w:pPr>
        <w:spacing w:after="100" w:line="276" w:lineRule="auto"/>
        <w:jc w:val="both"/>
      </w:pPr>
      <w:r>
        <w:t>The system has been designed by the Employer’s consultant and is fully specified in the issued tender documentation; the contractor undertakes no design work. This criterion assesses competence to install the specified system to a high standard within the constraints of a Protected Structure</w:t>
      </w:r>
      <w:r w:rsidR="001062F3">
        <w:t>;</w:t>
      </w:r>
      <w:r>
        <w:t xml:space="preserve"> understanding of the specification</w:t>
      </w:r>
      <w:r w:rsidR="001062F3">
        <w:t>,</w:t>
      </w:r>
      <w:r>
        <w:t xml:space="preserve"> installation methodology and sequencing</w:t>
      </w:r>
      <w:r w:rsidR="001062F3">
        <w:t>,</w:t>
      </w:r>
      <w:r>
        <w:t xml:space="preserve"> operative suitability and certification</w:t>
      </w:r>
      <w:r w:rsidR="001062F3">
        <w:t>,</w:t>
      </w:r>
      <w:r>
        <w:t xml:space="preserve"> quality controls and inspection regime</w:t>
      </w:r>
      <w:r w:rsidR="001062F3">
        <w:t>,</w:t>
      </w:r>
      <w:r>
        <w:t xml:space="preserve"> and commissioning and handover. A site</w:t>
      </w:r>
      <w:r>
        <w:rPr>
          <w:rFonts w:ascii="Cambria Math" w:hAnsi="Cambria Math" w:cs="Cambria Math"/>
        </w:rPr>
        <w:t>‑</w:t>
      </w:r>
      <w:r>
        <w:t>specific, demonstrably resourced response evidencing prior delivery of comparable installations will score significantly higher than a generic submission.</w:t>
      </w:r>
    </w:p>
    <w:p w14:paraId="7F3A1A28" w14:textId="77777777" w:rsidR="00760BB2" w:rsidRDefault="00760BB2" w:rsidP="00A7561A">
      <w:pPr>
        <w:spacing w:after="100" w:line="276" w:lineRule="auto"/>
        <w:jc w:val="both"/>
      </w:pPr>
    </w:p>
    <w:p w14:paraId="22A28EF6" w14:textId="77777777" w:rsidR="003E4228" w:rsidRDefault="00F03499" w:rsidP="00A7561A">
      <w:pPr>
        <w:pStyle w:val="Heading3"/>
        <w:spacing w:before="0" w:line="276" w:lineRule="auto"/>
        <w:jc w:val="both"/>
      </w:pPr>
      <w:r>
        <w:t>5.1 What Tenderers Must Address</w:t>
      </w:r>
    </w:p>
    <w:p w14:paraId="22A28EF7" w14:textId="77777777" w:rsidR="003E4228" w:rsidRDefault="00F03499" w:rsidP="00A7561A">
      <w:pPr>
        <w:pStyle w:val="ListParagraph"/>
        <w:numPr>
          <w:ilvl w:val="0"/>
          <w:numId w:val="2"/>
        </w:numPr>
        <w:spacing w:after="60" w:line="276" w:lineRule="auto"/>
        <w:jc w:val="both"/>
      </w:pPr>
      <w:r>
        <w:rPr>
          <w:b/>
          <w:bCs/>
        </w:rPr>
        <w:t xml:space="preserve">Confirmation of Specification: </w:t>
      </w:r>
      <w:r>
        <w:t>a signed statement that the tenderer has read, understood and priced the issued specification, drawings and schedules in full, and will install strictly in accordance with them. Any queries, ambiguities or proposed equivalents must be listed in a tabulated “Tenderer’s Queries and Proposed Equivalents” schedule; unflagged deviations will be marked down.</w:t>
      </w:r>
    </w:p>
    <w:p w14:paraId="22A28EF8" w14:textId="77777777" w:rsidR="003E4228" w:rsidRDefault="00F03499" w:rsidP="00A7561A">
      <w:pPr>
        <w:pStyle w:val="ListParagraph"/>
        <w:numPr>
          <w:ilvl w:val="0"/>
          <w:numId w:val="2"/>
        </w:numPr>
        <w:spacing w:after="60" w:line="276" w:lineRule="auto"/>
        <w:jc w:val="both"/>
      </w:pPr>
      <w:r>
        <w:rPr>
          <w:b/>
          <w:bCs/>
        </w:rPr>
        <w:t xml:space="preserve">Installation Methodology &amp; Sequencing: </w:t>
      </w:r>
      <w:r>
        <w:t>a site</w:t>
      </w:r>
      <w:r>
        <w:rPr>
          <w:rFonts w:ascii="Cambria Math" w:hAnsi="Cambria Math" w:cs="Cambria Math"/>
        </w:rPr>
        <w:t>‑</w:t>
      </w:r>
      <w:r>
        <w:t>specific method statement covering delivery, off</w:t>
      </w:r>
      <w:r>
        <w:rPr>
          <w:rFonts w:ascii="Cambria Math" w:hAnsi="Cambria Math" w:cs="Cambria Math"/>
        </w:rPr>
        <w:t>‑</w:t>
      </w:r>
      <w:r>
        <w:t>loading and positioning of the two BA90iP R290 units to the designated external ASHP compound; pipework installation and routing per the issued drawings; refrigerant pipework brazing and pressure testing; integration of the buffer tank, plate heat exchanger, new pumps and mixing valves; cabling, containment and electrical terminations; controls/BMS installation and NeoBox integration; and protection of finished and heritage fabric during follow</w:t>
      </w:r>
      <w:r>
        <w:rPr>
          <w:rFonts w:ascii="Cambria Math" w:hAnsi="Cambria Math" w:cs="Cambria Math"/>
        </w:rPr>
        <w:t>‑</w:t>
      </w:r>
      <w:r>
        <w:t>on works. The methodology must demonstrate practical understanding of access constraints, sequencing dependencies, and live</w:t>
      </w:r>
      <w:r>
        <w:rPr>
          <w:rFonts w:ascii="Cambria Math" w:hAnsi="Cambria Math" w:cs="Cambria Math"/>
        </w:rPr>
        <w:t>‑</w:t>
      </w:r>
      <w:r>
        <w:t>building working conditions at the museum.</w:t>
      </w:r>
    </w:p>
    <w:p w14:paraId="22A28EF9" w14:textId="77777777" w:rsidR="003E4228" w:rsidRDefault="00F03499" w:rsidP="00A7561A">
      <w:pPr>
        <w:pStyle w:val="ListParagraph"/>
        <w:numPr>
          <w:ilvl w:val="0"/>
          <w:numId w:val="2"/>
        </w:numPr>
        <w:spacing w:after="60" w:line="276" w:lineRule="auto"/>
        <w:jc w:val="both"/>
      </w:pPr>
      <w:r>
        <w:rPr>
          <w:b/>
          <w:bCs/>
        </w:rPr>
        <w:t xml:space="preserve">Resourcing &amp; Operative Competence: </w:t>
      </w:r>
      <w:r>
        <w:t>identification of the on</w:t>
      </w:r>
      <w:r>
        <w:rPr>
          <w:rFonts w:ascii="Cambria Math" w:hAnsi="Cambria Math" w:cs="Cambria Math"/>
        </w:rPr>
        <w:t>‑</w:t>
      </w:r>
      <w:r>
        <w:t>site team with a named Site Supervisor / Responsible Person and labour mix (direct vs subcontracted). Evidence of current certifications including: SEAI</w:t>
      </w:r>
      <w:r>
        <w:rPr>
          <w:rFonts w:ascii="Cambria Math" w:hAnsi="Cambria Math" w:cs="Cambria Math"/>
        </w:rPr>
        <w:t>‑</w:t>
      </w:r>
      <w:r>
        <w:t>Registered Heat Pump Installer status; current EPA F</w:t>
      </w:r>
      <w:r>
        <w:rPr>
          <w:rFonts w:ascii="Cambria Math" w:hAnsi="Cambria Math" w:cs="Cambria Math"/>
        </w:rPr>
        <w:t>‑</w:t>
      </w:r>
      <w:r>
        <w:t>Gas certification in accordance with Regulation (EU) 2024/573 and compliance with I.S. EN 378 Parts 1</w:t>
      </w:r>
      <w:r>
        <w:rPr>
          <w:rFonts w:ascii="Aptos" w:hAnsi="Aptos" w:cs="Aptos"/>
        </w:rPr>
        <w:t>–</w:t>
      </w:r>
      <w:r>
        <w:t>4 for the flammable (A3) refrigerant; RECI / Safe Electric registration; and Safe Pass and CSCS cards. All refrigerant, electrical and controls works to be carried out by appropriately certified personnel.</w:t>
      </w:r>
    </w:p>
    <w:p w14:paraId="22A28EFA" w14:textId="77777777" w:rsidR="003E4228" w:rsidRDefault="00F03499" w:rsidP="00A7561A">
      <w:pPr>
        <w:pStyle w:val="ListParagraph"/>
        <w:numPr>
          <w:ilvl w:val="0"/>
          <w:numId w:val="2"/>
        </w:numPr>
        <w:spacing w:after="60" w:line="276" w:lineRule="auto"/>
        <w:jc w:val="both"/>
      </w:pPr>
      <w:r>
        <w:rPr>
          <w:b/>
          <w:bCs/>
        </w:rPr>
        <w:t>Pre</w:t>
      </w:r>
      <w:r>
        <w:rPr>
          <w:rFonts w:ascii="Cambria Math" w:hAnsi="Cambria Math" w:cs="Cambria Math"/>
          <w:b/>
          <w:bCs/>
        </w:rPr>
        <w:t>‑</w:t>
      </w:r>
      <w:r>
        <w:rPr>
          <w:b/>
          <w:bCs/>
        </w:rPr>
        <w:t xml:space="preserve">Installation Activities: </w:t>
      </w:r>
      <w:r>
        <w:t>mobilisation approach including pre</w:t>
      </w:r>
      <w:r>
        <w:rPr>
          <w:rFonts w:ascii="Cambria Math" w:hAnsi="Cambria Math" w:cs="Cambria Math"/>
        </w:rPr>
        <w:t>‑</w:t>
      </w:r>
      <w:r>
        <w:t>start surveys to verify site dimensions and existing services against the drawings; coordination of builders</w:t>
      </w:r>
      <w:r>
        <w:rPr>
          <w:rFonts w:ascii="Aptos" w:hAnsi="Aptos" w:cs="Aptos"/>
        </w:rPr>
        <w:t>’</w:t>
      </w:r>
      <w:r>
        <w:t xml:space="preserve"> work and temporary works; procurement and lead</w:t>
      </w:r>
      <w:r>
        <w:rPr>
          <w:rFonts w:ascii="Cambria Math" w:hAnsi="Cambria Math" w:cs="Cambria Math"/>
        </w:rPr>
        <w:t>‑</w:t>
      </w:r>
      <w:r>
        <w:t>time management with a confirmed delivery programme; and off</w:t>
      </w:r>
      <w:r>
        <w:rPr>
          <w:rFonts w:ascii="Cambria Math" w:hAnsi="Cambria Math" w:cs="Cambria Math"/>
        </w:rPr>
        <w:t>‑</w:t>
      </w:r>
      <w:r>
        <w:t>site pre</w:t>
      </w:r>
      <w:r>
        <w:rPr>
          <w:rFonts w:ascii="Cambria Math" w:hAnsi="Cambria Math" w:cs="Cambria Math"/>
        </w:rPr>
        <w:t>‑</w:t>
      </w:r>
      <w:r>
        <w:t>assembly where this reduces working time within the Protected Structure.</w:t>
      </w:r>
    </w:p>
    <w:p w14:paraId="703AE925" w14:textId="77777777" w:rsidR="00760BB2" w:rsidRDefault="00760BB2" w:rsidP="00A7561A">
      <w:pPr>
        <w:jc w:val="both"/>
        <w:rPr>
          <w:b/>
          <w:bCs/>
        </w:rPr>
      </w:pPr>
      <w:r>
        <w:rPr>
          <w:b/>
          <w:bCs/>
        </w:rPr>
        <w:br w:type="page"/>
      </w:r>
    </w:p>
    <w:p w14:paraId="22A28EFB" w14:textId="730A6112" w:rsidR="003E4228" w:rsidRDefault="00F03499" w:rsidP="00A7561A">
      <w:pPr>
        <w:pStyle w:val="ListParagraph"/>
        <w:numPr>
          <w:ilvl w:val="0"/>
          <w:numId w:val="2"/>
        </w:numPr>
        <w:spacing w:after="60" w:line="276" w:lineRule="auto"/>
        <w:jc w:val="both"/>
      </w:pPr>
      <w:r>
        <w:rPr>
          <w:b/>
          <w:bCs/>
        </w:rPr>
        <w:lastRenderedPageBreak/>
        <w:t xml:space="preserve">Workmanship Standards &amp; Quality Controls: </w:t>
      </w:r>
      <w:r>
        <w:t xml:space="preserve">confirmation of compliance with relevant Irish and European standards including I.S. 10101 / ETCI National Rules for Electrical Installations; BS 8552; CIBSE Commissioning Code W; I.S. EN </w:t>
      </w:r>
      <w:r w:rsidRPr="00E360C0">
        <w:t>378 (</w:t>
      </w:r>
      <w:r w:rsidR="00AF7398" w:rsidRPr="00E360C0">
        <w:t>R</w:t>
      </w:r>
      <w:r w:rsidRPr="00E360C0">
        <w:t xml:space="preserve">efrigerating </w:t>
      </w:r>
      <w:r w:rsidR="00AF7398" w:rsidRPr="00E360C0">
        <w:t>S</w:t>
      </w:r>
      <w:r w:rsidRPr="00E360C0">
        <w:t>ystems</w:t>
      </w:r>
      <w:r w:rsidR="00AF7398" w:rsidRPr="00E360C0">
        <w:t>- S</w:t>
      </w:r>
      <w:r w:rsidRPr="00E360C0">
        <w:t xml:space="preserve">afety and </w:t>
      </w:r>
      <w:r w:rsidR="00AF7398" w:rsidRPr="00E360C0">
        <w:t>E</w:t>
      </w:r>
      <w:r w:rsidRPr="00E360C0">
        <w:t xml:space="preserve">nvironmental </w:t>
      </w:r>
      <w:r w:rsidR="00AF7398" w:rsidRPr="00E360C0">
        <w:t>R</w:t>
      </w:r>
      <w:r w:rsidRPr="00E360C0">
        <w:t>equirements); and the manufacturer’s installation instructions. A draft Inspection &amp; Test Plan (ITP) covering pipework pressure/tightness</w:t>
      </w:r>
      <w:r>
        <w:t xml:space="preserve"> testing, refrigerant evacuation and charging, flushing and water</w:t>
      </w:r>
      <w:r>
        <w:rPr>
          <w:rFonts w:ascii="Cambria Math" w:hAnsi="Cambria Math" w:cs="Cambria Math"/>
        </w:rPr>
        <w:t>‑</w:t>
      </w:r>
      <w:r>
        <w:t>treatment dosing, hydronic balancing, and electrical certification (Cert No. 3 / Test Record Certificate).</w:t>
      </w:r>
    </w:p>
    <w:p w14:paraId="22A28EFC" w14:textId="5D2BE78D" w:rsidR="003E4228" w:rsidRDefault="00F03499" w:rsidP="00A7561A">
      <w:pPr>
        <w:pStyle w:val="ListParagraph"/>
        <w:numPr>
          <w:ilvl w:val="0"/>
          <w:numId w:val="2"/>
        </w:numPr>
        <w:spacing w:after="60" w:line="276" w:lineRule="auto"/>
        <w:jc w:val="both"/>
      </w:pPr>
      <w:r>
        <w:rPr>
          <w:b/>
          <w:bCs/>
        </w:rPr>
        <w:t xml:space="preserve">Commissioning &amp; Handover to Design Intent: </w:t>
      </w:r>
      <w:r>
        <w:t>a commissioning process covering flushing and cleansing; hydraulic balancing to the design flow rates and ΔT stated in the specification</w:t>
      </w:r>
      <w:r w:rsidR="003E6C9F">
        <w:t xml:space="preserve">; </w:t>
      </w:r>
      <w:r>
        <w:t>refrigerant charge verification; controls commissioning, weather</w:t>
      </w:r>
      <w:r>
        <w:rPr>
          <w:rFonts w:ascii="Cambria Math" w:hAnsi="Cambria Math" w:cs="Cambria Math"/>
        </w:rPr>
        <w:t>‑</w:t>
      </w:r>
      <w:r>
        <w:t>compensation set</w:t>
      </w:r>
      <w:r>
        <w:rPr>
          <w:rFonts w:ascii="Cambria Math" w:hAnsi="Cambria Math" w:cs="Cambria Math"/>
        </w:rPr>
        <w:t>‑</w:t>
      </w:r>
      <w:r>
        <w:t>up and BMS point</w:t>
      </w:r>
      <w:r>
        <w:rPr>
          <w:rFonts w:ascii="Cambria Math" w:hAnsi="Cambria Math" w:cs="Cambria Math"/>
        </w:rPr>
        <w:t>‑</w:t>
      </w:r>
      <w:r>
        <w:t>to</w:t>
      </w:r>
      <w:r>
        <w:rPr>
          <w:rFonts w:ascii="Cambria Math" w:hAnsi="Cambria Math" w:cs="Cambria Math"/>
        </w:rPr>
        <w:t>‑</w:t>
      </w:r>
      <w:r>
        <w:t xml:space="preserve">point testing; NeoBox connectivity verification; and witnessed performance testing against the design intent (target SCOP </w:t>
      </w:r>
      <w:r>
        <w:rPr>
          <w:rFonts w:ascii="Aptos" w:hAnsi="Aptos" w:cs="Aptos"/>
        </w:rPr>
        <w:t>≥</w:t>
      </w:r>
      <w:r>
        <w:t xml:space="preserve"> 3.5). O&amp;M documentation at handover: as</w:t>
      </w:r>
      <w:r>
        <w:rPr>
          <w:rFonts w:ascii="Cambria Math" w:hAnsi="Cambria Math" w:cs="Cambria Math"/>
        </w:rPr>
        <w:t>‑</w:t>
      </w:r>
      <w:r>
        <w:t>built drawings, equipment schedules, manuals, statutory certificates, and training for Trust facilities staff.</w:t>
      </w:r>
    </w:p>
    <w:p w14:paraId="22A28EFD" w14:textId="30528EC2" w:rsidR="003E4228" w:rsidRDefault="00F03499" w:rsidP="00A7561A">
      <w:pPr>
        <w:pStyle w:val="ListParagraph"/>
        <w:numPr>
          <w:ilvl w:val="0"/>
          <w:numId w:val="2"/>
        </w:numPr>
        <w:spacing w:after="60" w:line="276" w:lineRule="auto"/>
        <w:jc w:val="both"/>
      </w:pPr>
      <w:r>
        <w:rPr>
          <w:b/>
          <w:bCs/>
        </w:rPr>
        <w:t xml:space="preserve">Evidence of Comparable Installation Delivery: </w:t>
      </w:r>
      <w:r>
        <w:t xml:space="preserve">two short worked examples (max half a page each), drawn from </w:t>
      </w:r>
      <w:r w:rsidRPr="00E360C0">
        <w:t>the Criterion 1 references, describing installation of a heat pump system to a third</w:t>
      </w:r>
      <w:r w:rsidRPr="00E360C0">
        <w:rPr>
          <w:rFonts w:ascii="Cambria Math" w:hAnsi="Cambria Math" w:cs="Cambria Math"/>
        </w:rPr>
        <w:t>‑</w:t>
      </w:r>
      <w:r w:rsidRPr="00E360C0">
        <w:t>party design</w:t>
      </w:r>
      <w:r w:rsidR="00CA665D" w:rsidRPr="00E360C0">
        <w:t>,</w:t>
      </w:r>
      <w:r w:rsidRPr="00E360C0">
        <w:t xml:space="preserve"> </w:t>
      </w:r>
      <w:r w:rsidR="00CA665D" w:rsidRPr="00E360C0">
        <w:t>focusing on</w:t>
      </w:r>
      <w:r w:rsidRPr="00E360C0">
        <w:t xml:space="preserve"> pipework routing, equipment placement, commissioning and handover where design parameters</w:t>
      </w:r>
      <w:r>
        <w:t xml:space="preserve"> were fixed by others. Verifiable contact details in each case.</w:t>
      </w:r>
    </w:p>
    <w:p w14:paraId="47F02C70" w14:textId="77777777" w:rsidR="00760BB2" w:rsidRDefault="00760BB2" w:rsidP="00A7561A">
      <w:pPr>
        <w:pStyle w:val="ListParagraph"/>
        <w:spacing w:after="60" w:line="276" w:lineRule="auto"/>
        <w:ind w:left="460"/>
        <w:jc w:val="both"/>
      </w:pPr>
    </w:p>
    <w:p w14:paraId="4341237E" w14:textId="77777777" w:rsidR="00760BB2" w:rsidRDefault="00760BB2" w:rsidP="00A7561A">
      <w:pPr>
        <w:jc w:val="both"/>
        <w:rPr>
          <w:rFonts w:asciiTheme="majorHAnsi" w:eastAsiaTheme="majorEastAsia" w:hAnsiTheme="majorHAnsi" w:cstheme="majorBidi"/>
          <w:color w:val="1B7758" w:themeColor="accent1" w:themeShade="BF"/>
          <w:sz w:val="28"/>
          <w:szCs w:val="28"/>
        </w:rPr>
      </w:pPr>
      <w:r>
        <w:br w:type="page"/>
      </w:r>
    </w:p>
    <w:p w14:paraId="22A28EFE" w14:textId="43021DE1" w:rsidR="003E4228" w:rsidRDefault="00F03499" w:rsidP="00A7561A">
      <w:pPr>
        <w:pStyle w:val="Heading3"/>
        <w:spacing w:before="0" w:line="276" w:lineRule="auto"/>
        <w:jc w:val="both"/>
      </w:pPr>
      <w:r>
        <w:lastRenderedPageBreak/>
        <w:t>5.2 Scoring Guidance</w:t>
      </w:r>
      <w:r w:rsidR="00AF7398">
        <w:t>:</w:t>
      </w:r>
      <w:r>
        <w:t xml:space="preserve"> Criterion 2</w:t>
      </w:r>
    </w:p>
    <w:p w14:paraId="23AA889F" w14:textId="77777777" w:rsidR="00760BB2" w:rsidRPr="00760BB2" w:rsidRDefault="00760BB2" w:rsidP="00A7561A">
      <w:pPr>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7526"/>
      </w:tblGrid>
      <w:tr w:rsidR="003E4228" w14:paraId="22A28F01" w14:textId="77777777" w:rsidTr="00760BB2">
        <w:trPr>
          <w:tblHeader/>
        </w:trPr>
        <w:tc>
          <w:tcPr>
            <w:tcW w:w="15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EFF" w14:textId="77777777" w:rsidR="003E4228" w:rsidRDefault="00F03499" w:rsidP="00A7561A">
            <w:pPr>
              <w:spacing w:line="276" w:lineRule="auto"/>
              <w:jc w:val="both"/>
            </w:pPr>
            <w:r>
              <w:rPr>
                <w:b/>
                <w:bCs/>
                <w:color w:val="FFFFFF"/>
              </w:rPr>
              <w:t>Score</w:t>
            </w:r>
          </w:p>
        </w:tc>
        <w:tc>
          <w:tcPr>
            <w:tcW w:w="75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F00" w14:textId="77777777" w:rsidR="003E4228" w:rsidRDefault="00F03499" w:rsidP="00A7561A">
            <w:pPr>
              <w:spacing w:line="276" w:lineRule="auto"/>
              <w:jc w:val="both"/>
            </w:pPr>
            <w:r>
              <w:rPr>
                <w:b/>
                <w:bCs/>
                <w:color w:val="FFFFFF"/>
              </w:rPr>
              <w:t>Descriptor</w:t>
            </w:r>
          </w:p>
        </w:tc>
      </w:tr>
      <w:tr w:rsidR="003E4228" w14:paraId="22A28F04"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02" w14:textId="77777777" w:rsidR="003E4228" w:rsidRDefault="00F03499" w:rsidP="00A7561A">
            <w:pPr>
              <w:spacing w:line="276" w:lineRule="auto"/>
              <w:jc w:val="both"/>
            </w:pPr>
            <w:r>
              <w:rPr>
                <w:b/>
                <w:bCs/>
              </w:rPr>
              <w:t>10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03" w14:textId="77777777" w:rsidR="003E4228" w:rsidRDefault="00F03499" w:rsidP="00A7561A">
            <w:pPr>
              <w:spacing w:line="276" w:lineRule="auto"/>
              <w:jc w:val="both"/>
            </w:pPr>
            <w:r>
              <w:t>Unconditional confirmation the specification is understood and priced with no unflagged deviations; site</w:t>
            </w:r>
            <w:r>
              <w:rPr>
                <w:rFonts w:ascii="Cambria Math" w:hAnsi="Cambria Math" w:cs="Cambria Math"/>
              </w:rPr>
              <w:t>‑</w:t>
            </w:r>
            <w:r>
              <w:t>specific methodology demonstrating practical grasp of access, sequencing and live</w:t>
            </w:r>
            <w:r>
              <w:rPr>
                <w:rFonts w:ascii="Cambria Math" w:hAnsi="Cambria Math" w:cs="Cambria Math"/>
              </w:rPr>
              <w:t>‑</w:t>
            </w:r>
            <w:r>
              <w:t>building constraints; named certified team with full SEAI / EPA F</w:t>
            </w:r>
            <w:r>
              <w:rPr>
                <w:rFonts w:ascii="Cambria Math" w:hAnsi="Cambria Math" w:cs="Cambria Math"/>
              </w:rPr>
              <w:t>‑</w:t>
            </w:r>
            <w:r>
              <w:t>Gas (2024/573) &amp; EN 378 / RECI / Safe Pass evidence; comprehensive draft ITP and commissioning programme aligned with CIBSE Code W and the design intent; two strong worked examples of installing third</w:t>
            </w:r>
            <w:r>
              <w:rPr>
                <w:rFonts w:ascii="Cambria Math" w:hAnsi="Cambria Math" w:cs="Cambria Math"/>
              </w:rPr>
              <w:t>‑</w:t>
            </w:r>
            <w:r>
              <w:t>party</w:t>
            </w:r>
            <w:r>
              <w:rPr>
                <w:rFonts w:ascii="Cambria Math" w:hAnsi="Cambria Math" w:cs="Cambria Math"/>
              </w:rPr>
              <w:t>‑</w:t>
            </w:r>
            <w:r>
              <w:t>designed heat pump systems.</w:t>
            </w:r>
          </w:p>
        </w:tc>
      </w:tr>
      <w:tr w:rsidR="003E4228" w14:paraId="22A28F07"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05" w14:textId="77777777" w:rsidR="003E4228" w:rsidRDefault="00F03499" w:rsidP="00A7561A">
            <w:pPr>
              <w:spacing w:line="276" w:lineRule="auto"/>
              <w:jc w:val="both"/>
            </w:pPr>
            <w:r>
              <w:rPr>
                <w:b/>
                <w:bCs/>
              </w:rPr>
              <w:t>7–9</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06" w14:textId="77777777" w:rsidR="003E4228" w:rsidRDefault="00F03499" w:rsidP="00A7561A">
            <w:pPr>
              <w:spacing w:line="276" w:lineRule="auto"/>
              <w:jc w:val="both"/>
            </w:pPr>
            <w:r>
              <w:t>Good response; specification confirmation clear; sound methodology with most sequencing/access points addressed; named team with principal certifications; ITP and commissioning approach present; comparable experience referenced; minor gaps.</w:t>
            </w:r>
          </w:p>
        </w:tc>
      </w:tr>
      <w:tr w:rsidR="003E4228" w14:paraId="22A28F0A"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08" w14:textId="77777777" w:rsidR="003E4228" w:rsidRDefault="00F03499" w:rsidP="00A7561A">
            <w:pPr>
              <w:spacing w:line="276" w:lineRule="auto"/>
              <w:jc w:val="both"/>
            </w:pPr>
            <w:r>
              <w:rPr>
                <w:b/>
                <w:bCs/>
              </w:rPr>
              <w:t>4–6</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09" w14:textId="77777777" w:rsidR="003E4228" w:rsidRDefault="00F03499" w:rsidP="00A7561A">
            <w:pPr>
              <w:spacing w:line="276" w:lineRule="auto"/>
              <w:jc w:val="both"/>
            </w:pPr>
            <w:r>
              <w:t>Adequate response; specification confirmed but methodology generic; team identified but certification evidence partial; ITP and commissioning asserted rather than detailed; limited evidence of comparable delivery.</w:t>
            </w:r>
          </w:p>
        </w:tc>
      </w:tr>
      <w:tr w:rsidR="003E4228" w14:paraId="22A28F0D"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0B" w14:textId="77777777" w:rsidR="003E4228" w:rsidRDefault="00F03499" w:rsidP="00A7561A">
            <w:pPr>
              <w:spacing w:line="276" w:lineRule="auto"/>
              <w:jc w:val="both"/>
            </w:pPr>
            <w:r>
              <w:rPr>
                <w:b/>
                <w:bCs/>
              </w:rPr>
              <w:t>1–3</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0C" w14:textId="77777777" w:rsidR="003E4228" w:rsidRDefault="00F03499" w:rsidP="00A7561A">
            <w:pPr>
              <w:spacing w:line="276" w:lineRule="auto"/>
              <w:jc w:val="both"/>
            </w:pPr>
            <w:r>
              <w:t>Weak submission; unflagged or material deviations; generic methodology; insufficient operative certification; ITP/commissioning absent or token.</w:t>
            </w:r>
          </w:p>
        </w:tc>
      </w:tr>
      <w:tr w:rsidR="003E4228" w14:paraId="22A28F10"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0E" w14:textId="77777777" w:rsidR="003E4228" w:rsidRDefault="00F03499" w:rsidP="00A7561A">
            <w:pPr>
              <w:spacing w:line="276" w:lineRule="auto"/>
              <w:jc w:val="both"/>
            </w:pPr>
            <w:r>
              <w:rPr>
                <w:b/>
                <w:bCs/>
              </w:rPr>
              <w:t>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0F" w14:textId="77777777" w:rsidR="003E4228" w:rsidRDefault="00F03499" w:rsidP="00A7561A">
            <w:pPr>
              <w:spacing w:line="276" w:lineRule="auto"/>
              <w:jc w:val="both"/>
            </w:pPr>
            <w:r>
              <w:t>No meaningful response; brochure material only; or fundamental misunderstanding of the specification or installation obligations.</w:t>
            </w:r>
          </w:p>
        </w:tc>
      </w:tr>
    </w:tbl>
    <w:p w14:paraId="22A28F11" w14:textId="08336E4C" w:rsidR="003E4228" w:rsidRDefault="00F03499" w:rsidP="00A7561A">
      <w:pPr>
        <w:spacing w:line="276" w:lineRule="auto"/>
        <w:jc w:val="both"/>
      </w:pPr>
      <w:r>
        <w:rPr>
          <w:i/>
          <w:iCs/>
        </w:rPr>
        <w:t xml:space="preserve">Maximum page allowance: 6 pages A4. The Queries/Equivalents schedule, draft ITP, draft commissioning programme and certification evidence may be appended and are not counted against the limit. </w:t>
      </w:r>
    </w:p>
    <w:p w14:paraId="22A28F12" w14:textId="77777777" w:rsidR="003E4228" w:rsidRDefault="00F03499" w:rsidP="00A7561A">
      <w:pPr>
        <w:spacing w:line="276" w:lineRule="auto"/>
        <w:jc w:val="both"/>
      </w:pPr>
      <w:r>
        <w:br w:type="page"/>
      </w:r>
    </w:p>
    <w:p w14:paraId="22A28F13" w14:textId="11528920" w:rsidR="003E4228" w:rsidRDefault="00F03499" w:rsidP="00A7561A">
      <w:pPr>
        <w:pStyle w:val="Heading2"/>
        <w:spacing w:before="0" w:line="276" w:lineRule="auto"/>
        <w:jc w:val="both"/>
      </w:pPr>
      <w:r>
        <w:lastRenderedPageBreak/>
        <w:t>6. Criterion 3</w:t>
      </w:r>
      <w:r w:rsidR="00AF7398">
        <w:t>:</w:t>
      </w:r>
      <w:r>
        <w:t xml:space="preserve"> Heritage &amp; Conservation Sensitivity (15%)</w:t>
      </w:r>
    </w:p>
    <w:p w14:paraId="2FB8E811" w14:textId="77777777" w:rsidR="00760BB2" w:rsidRPr="00760BB2" w:rsidRDefault="00760BB2" w:rsidP="00A7561A">
      <w:pPr>
        <w:jc w:val="both"/>
      </w:pPr>
    </w:p>
    <w:p w14:paraId="22A28F14" w14:textId="14844819" w:rsidR="003E4228" w:rsidRDefault="00F03499" w:rsidP="00A7561A">
      <w:pPr>
        <w:spacing w:after="100" w:line="276" w:lineRule="auto"/>
        <w:jc w:val="both"/>
      </w:pPr>
      <w:r>
        <w:t xml:space="preserve">Strokestown Park is a Protected </w:t>
      </w:r>
      <w:proofErr w:type="gramStart"/>
      <w:r>
        <w:t>Structure  and</w:t>
      </w:r>
      <w:proofErr w:type="gramEnd"/>
      <w:r>
        <w:t>, as the National Famine Museum and home of the Irish National Famine Archive, is a heritage asset of national significance, subject to oversight by Roscommon County Council’s Conservation Officer and the National Monuments Service. This criterion carries the highest individual technical weighting. Particular attention attaches to the siting of the external ASHP compound and to any external refrigerant pipework routing on the protected fabric.</w:t>
      </w:r>
    </w:p>
    <w:p w14:paraId="4B70AA70" w14:textId="77777777" w:rsidR="00760BB2" w:rsidRDefault="00760BB2" w:rsidP="00A7561A">
      <w:pPr>
        <w:spacing w:after="100" w:line="276" w:lineRule="auto"/>
        <w:jc w:val="both"/>
      </w:pPr>
    </w:p>
    <w:p w14:paraId="22A28F15" w14:textId="77777777" w:rsidR="003E4228" w:rsidRDefault="00F03499" w:rsidP="00A7561A">
      <w:pPr>
        <w:pStyle w:val="Heading3"/>
        <w:spacing w:before="0" w:line="276" w:lineRule="auto"/>
        <w:jc w:val="both"/>
      </w:pPr>
      <w:r>
        <w:t>6.1 What Tenderers Must Address</w:t>
      </w:r>
    </w:p>
    <w:p w14:paraId="22A28F16" w14:textId="77777777" w:rsidR="003E4228" w:rsidRPr="00E360C0" w:rsidRDefault="00F03499" w:rsidP="00A7561A">
      <w:pPr>
        <w:pStyle w:val="ListParagraph"/>
        <w:numPr>
          <w:ilvl w:val="0"/>
          <w:numId w:val="2"/>
        </w:numPr>
        <w:spacing w:after="60" w:line="276" w:lineRule="auto"/>
        <w:jc w:val="both"/>
      </w:pPr>
      <w:r>
        <w:t xml:space="preserve">Demonstrated knowledge of and compliance with the Planning and Development Act 2000 </w:t>
      </w:r>
      <w:r w:rsidRPr="00E360C0">
        <w:t>(as amended) in respect of Protected Structures, and the obligations of a works contractor therein.</w:t>
      </w:r>
    </w:p>
    <w:p w14:paraId="22A28F17" w14:textId="0DA55E69" w:rsidR="003E4228" w:rsidRPr="00E360C0" w:rsidRDefault="00F03499" w:rsidP="00A7561A">
      <w:pPr>
        <w:pStyle w:val="ListParagraph"/>
        <w:numPr>
          <w:ilvl w:val="0"/>
          <w:numId w:val="2"/>
        </w:numPr>
        <w:spacing w:after="60" w:line="276" w:lineRule="auto"/>
        <w:jc w:val="both"/>
      </w:pPr>
      <w:r w:rsidRPr="00E360C0">
        <w:t xml:space="preserve">Evidence of </w:t>
      </w:r>
      <w:r w:rsidR="00CA665D" w:rsidRPr="00E360C0">
        <w:t xml:space="preserve">at least two </w:t>
      </w:r>
      <w:r w:rsidRPr="00E360C0">
        <w:t>prior works in protected structures, national monuments or heritage</w:t>
      </w:r>
      <w:r w:rsidRPr="00E360C0">
        <w:rPr>
          <w:rFonts w:ascii="Cambria Math" w:hAnsi="Cambria Math" w:cs="Cambria Math"/>
        </w:rPr>
        <w:t>‑</w:t>
      </w:r>
      <w:r w:rsidRPr="00E360C0">
        <w:t>graded buildings in Ireland</w:t>
      </w:r>
      <w:r w:rsidR="00CA665D" w:rsidRPr="00E360C0">
        <w:t xml:space="preserve">, with </w:t>
      </w:r>
      <w:r w:rsidRPr="00E360C0">
        <w:t>comparable references (project, client contact, description of heritage</w:t>
      </w:r>
      <w:r w:rsidRPr="00E360C0">
        <w:rPr>
          <w:rFonts w:ascii="Cambria Math" w:hAnsi="Cambria Math" w:cs="Cambria Math"/>
        </w:rPr>
        <w:t>‑</w:t>
      </w:r>
      <w:r w:rsidRPr="00E360C0">
        <w:t>sensitive M&amp;E works, outcome).</w:t>
      </w:r>
    </w:p>
    <w:p w14:paraId="22A28F18" w14:textId="77777777" w:rsidR="003E4228" w:rsidRPr="00E360C0" w:rsidRDefault="00F03499" w:rsidP="00A7561A">
      <w:pPr>
        <w:pStyle w:val="ListParagraph"/>
        <w:numPr>
          <w:ilvl w:val="0"/>
          <w:numId w:val="2"/>
        </w:numPr>
        <w:spacing w:after="60" w:line="276" w:lineRule="auto"/>
        <w:jc w:val="both"/>
      </w:pPr>
      <w:r w:rsidRPr="00E360C0">
        <w:t>Methodology for minimising physical intervention to the building fabric: how pipework, electrical runs, fixings, the external units and associated plant will be installed without damage to original features, plasterwork, stonework or timber.</w:t>
      </w:r>
    </w:p>
    <w:p w14:paraId="22A28F19" w14:textId="1FB64928" w:rsidR="003E4228" w:rsidRDefault="00CA665D" w:rsidP="00A7561A">
      <w:pPr>
        <w:pStyle w:val="ListParagraph"/>
        <w:numPr>
          <w:ilvl w:val="0"/>
          <w:numId w:val="2"/>
        </w:numPr>
        <w:spacing w:after="60" w:line="276" w:lineRule="auto"/>
        <w:jc w:val="both"/>
      </w:pPr>
      <w:r w:rsidRPr="00E360C0">
        <w:t>Specific a</w:t>
      </w:r>
      <w:r w:rsidR="00F03499" w:rsidRPr="00E360C0">
        <w:t xml:space="preserve">pproach to reversibility </w:t>
      </w:r>
      <w:r w:rsidRPr="00E360C0">
        <w:t xml:space="preserve">demonstrating </w:t>
      </w:r>
      <w:r w:rsidR="00F03499" w:rsidRPr="00E360C0">
        <w:t>capa</w:t>
      </w:r>
      <w:r w:rsidRPr="00E360C0">
        <w:t>city for</w:t>
      </w:r>
      <w:r>
        <w:t xml:space="preserve"> </w:t>
      </w:r>
      <w:r w:rsidR="00F03499">
        <w:t xml:space="preserve">removal </w:t>
      </w:r>
      <w:r>
        <w:t xml:space="preserve">of installations </w:t>
      </w:r>
      <w:r w:rsidR="00F03499">
        <w:t>without permanent alteration to the protected structure, in line with best conservation practice.</w:t>
      </w:r>
    </w:p>
    <w:p w14:paraId="22A28F1A" w14:textId="77777777" w:rsidR="003E4228" w:rsidRDefault="00F03499" w:rsidP="00A7561A">
      <w:pPr>
        <w:pStyle w:val="ListParagraph"/>
        <w:numPr>
          <w:ilvl w:val="0"/>
          <w:numId w:val="2"/>
        </w:numPr>
        <w:spacing w:after="60" w:line="276" w:lineRule="auto"/>
        <w:jc w:val="both"/>
      </w:pPr>
      <w:r>
        <w:t>Siting and screening of the external ASHP compound to minimise visual and acoustic impact on the protected setting, including proposed acoustic mitigation.</w:t>
      </w:r>
    </w:p>
    <w:p w14:paraId="22A28F1B" w14:textId="77777777" w:rsidR="003E4228" w:rsidRDefault="00F03499" w:rsidP="00A7561A">
      <w:pPr>
        <w:pStyle w:val="ListParagraph"/>
        <w:numPr>
          <w:ilvl w:val="0"/>
          <w:numId w:val="2"/>
        </w:numPr>
        <w:spacing w:after="60" w:line="276" w:lineRule="auto"/>
        <w:jc w:val="both"/>
      </w:pPr>
      <w:r>
        <w:t>Proposed engagement with the Conservation Architect and Roscommon County Council Conservation Officer during installation, including inspection hold points.</w:t>
      </w:r>
    </w:p>
    <w:p w14:paraId="22A28F1C" w14:textId="77777777" w:rsidR="003E4228" w:rsidRDefault="00F03499" w:rsidP="00A7561A">
      <w:pPr>
        <w:pStyle w:val="ListParagraph"/>
        <w:numPr>
          <w:ilvl w:val="0"/>
          <w:numId w:val="2"/>
        </w:numPr>
        <w:spacing w:after="60" w:line="276" w:lineRule="auto"/>
        <w:jc w:val="both"/>
      </w:pPr>
      <w:r>
        <w:t>Materials and finishes selected for compatibility with the historic fabric (e.g. lime mortar, non</w:t>
      </w:r>
      <w:r>
        <w:rPr>
          <w:rFonts w:ascii="Cambria Math" w:hAnsi="Cambria Math" w:cs="Cambria Math"/>
        </w:rPr>
        <w:t>‑</w:t>
      </w:r>
      <w:r>
        <w:t>invasive fixings, concealed routing).</w:t>
      </w:r>
    </w:p>
    <w:p w14:paraId="22A28F1D" w14:textId="77777777" w:rsidR="003E4228" w:rsidRDefault="00F03499" w:rsidP="00A7561A">
      <w:pPr>
        <w:pStyle w:val="ListParagraph"/>
        <w:numPr>
          <w:ilvl w:val="0"/>
          <w:numId w:val="2"/>
        </w:numPr>
        <w:spacing w:after="60" w:line="276" w:lineRule="auto"/>
        <w:jc w:val="both"/>
      </w:pPr>
      <w:r>
        <w:t>Any accreditations or memberships relevant to heritage works (RIAI, Engineers Ireland, CIBSE, or conservation</w:t>
      </w:r>
      <w:r>
        <w:rPr>
          <w:rFonts w:ascii="Cambria Math" w:hAnsi="Cambria Math" w:cs="Cambria Math"/>
        </w:rPr>
        <w:t>‑</w:t>
      </w:r>
      <w:r>
        <w:t>specific bodies).</w:t>
      </w:r>
    </w:p>
    <w:p w14:paraId="18503315" w14:textId="77777777" w:rsidR="00760BB2" w:rsidRDefault="00760BB2" w:rsidP="00A7561A">
      <w:pPr>
        <w:jc w:val="both"/>
        <w:rPr>
          <w:rFonts w:asciiTheme="majorHAnsi" w:eastAsiaTheme="majorEastAsia" w:hAnsiTheme="majorHAnsi" w:cstheme="majorBidi"/>
          <w:color w:val="1B7758" w:themeColor="accent1" w:themeShade="BF"/>
          <w:sz w:val="28"/>
          <w:szCs w:val="28"/>
        </w:rPr>
      </w:pPr>
      <w:r>
        <w:br w:type="page"/>
      </w:r>
    </w:p>
    <w:p w14:paraId="22A28F1E" w14:textId="3C4759E3" w:rsidR="003E4228" w:rsidRDefault="00F03499" w:rsidP="00A7561A">
      <w:pPr>
        <w:pStyle w:val="Heading3"/>
        <w:spacing w:before="0" w:line="276" w:lineRule="auto"/>
        <w:jc w:val="both"/>
      </w:pPr>
      <w:r>
        <w:lastRenderedPageBreak/>
        <w:t>6.2 Scoring Guidance</w:t>
      </w:r>
      <w:r w:rsidR="00AF7398">
        <w:t xml:space="preserve">: </w:t>
      </w:r>
      <w:r>
        <w:t>Criterion 3</w:t>
      </w:r>
    </w:p>
    <w:p w14:paraId="250C2D72" w14:textId="77777777" w:rsidR="00760BB2" w:rsidRPr="00760BB2" w:rsidRDefault="00760BB2" w:rsidP="00A7561A">
      <w:pPr>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7526"/>
      </w:tblGrid>
      <w:tr w:rsidR="003E4228" w14:paraId="22A28F21" w14:textId="77777777" w:rsidTr="00760BB2">
        <w:trPr>
          <w:tblHeader/>
        </w:trPr>
        <w:tc>
          <w:tcPr>
            <w:tcW w:w="15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F1F" w14:textId="77777777" w:rsidR="003E4228" w:rsidRDefault="00F03499" w:rsidP="00A7561A">
            <w:pPr>
              <w:spacing w:line="276" w:lineRule="auto"/>
              <w:jc w:val="both"/>
            </w:pPr>
            <w:r>
              <w:rPr>
                <w:b/>
                <w:bCs/>
                <w:color w:val="FFFFFF"/>
              </w:rPr>
              <w:t>Score</w:t>
            </w:r>
          </w:p>
        </w:tc>
        <w:tc>
          <w:tcPr>
            <w:tcW w:w="75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F20" w14:textId="77777777" w:rsidR="003E4228" w:rsidRDefault="00F03499" w:rsidP="00A7561A">
            <w:pPr>
              <w:spacing w:line="276" w:lineRule="auto"/>
              <w:jc w:val="both"/>
            </w:pPr>
            <w:r>
              <w:rPr>
                <w:b/>
                <w:bCs/>
                <w:color w:val="FFFFFF"/>
              </w:rPr>
              <w:t>Descriptor</w:t>
            </w:r>
          </w:p>
        </w:tc>
      </w:tr>
      <w:tr w:rsidR="003E4228" w14:paraId="22A28F24"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22" w14:textId="77777777" w:rsidR="003E4228" w:rsidRDefault="00F03499" w:rsidP="00A7561A">
            <w:pPr>
              <w:spacing w:line="276" w:lineRule="auto"/>
              <w:jc w:val="both"/>
            </w:pPr>
            <w:r>
              <w:rPr>
                <w:b/>
                <w:bCs/>
              </w:rPr>
              <w:t>10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23" w14:textId="77777777" w:rsidR="003E4228" w:rsidRDefault="00F03499" w:rsidP="00A7561A">
            <w:pPr>
              <w:spacing w:line="276" w:lineRule="auto"/>
              <w:jc w:val="both"/>
            </w:pPr>
            <w:r>
              <w:t>Deep knowledge of working in protected structures; references NIAH / Conservation Officer / National Monuments Service engagement; evidence from comparable heritage projects; clear protocols for reversibility, minimum intervention and sensitive external</w:t>
            </w:r>
            <w:r>
              <w:rPr>
                <w:rFonts w:ascii="Cambria Math" w:hAnsi="Cambria Math" w:cs="Cambria Math"/>
              </w:rPr>
              <w:t>‑</w:t>
            </w:r>
            <w:r>
              <w:t>unit siting.</w:t>
            </w:r>
          </w:p>
        </w:tc>
      </w:tr>
      <w:tr w:rsidR="003E4228" w14:paraId="22A28F27"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25" w14:textId="77777777" w:rsidR="003E4228" w:rsidRDefault="00F03499" w:rsidP="00A7561A">
            <w:pPr>
              <w:spacing w:line="276" w:lineRule="auto"/>
              <w:jc w:val="both"/>
            </w:pPr>
            <w:r>
              <w:rPr>
                <w:b/>
                <w:bCs/>
              </w:rPr>
              <w:t>7–9</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26" w14:textId="77777777" w:rsidR="003E4228" w:rsidRDefault="00F03499" w:rsidP="00A7561A">
            <w:pPr>
              <w:spacing w:line="276" w:lineRule="auto"/>
              <w:jc w:val="both"/>
            </w:pPr>
            <w:r>
              <w:t>Good understanding of heritage constraints with relevant examples; some gaps in regulatory detail.</w:t>
            </w:r>
          </w:p>
        </w:tc>
      </w:tr>
      <w:tr w:rsidR="003E4228" w14:paraId="22A28F2A"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28" w14:textId="77777777" w:rsidR="003E4228" w:rsidRDefault="00F03499" w:rsidP="00A7561A">
            <w:pPr>
              <w:spacing w:line="276" w:lineRule="auto"/>
              <w:jc w:val="both"/>
            </w:pPr>
            <w:r>
              <w:rPr>
                <w:b/>
                <w:bCs/>
              </w:rPr>
              <w:t>4–6</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29" w14:textId="77777777" w:rsidR="003E4228" w:rsidRDefault="00F03499" w:rsidP="00A7561A">
            <w:pPr>
              <w:spacing w:line="276" w:lineRule="auto"/>
              <w:jc w:val="both"/>
            </w:pPr>
            <w:r>
              <w:t>General awareness; limited heritage</w:t>
            </w:r>
            <w:r>
              <w:rPr>
                <w:rFonts w:ascii="Cambria Math" w:hAnsi="Cambria Math" w:cs="Cambria Math"/>
              </w:rPr>
              <w:t>‑</w:t>
            </w:r>
            <w:r>
              <w:t>specific evidence; methodology plausible but not heritage</w:t>
            </w:r>
            <w:r>
              <w:rPr>
                <w:rFonts w:ascii="Cambria Math" w:hAnsi="Cambria Math" w:cs="Cambria Math"/>
              </w:rPr>
              <w:t>‑</w:t>
            </w:r>
            <w:r>
              <w:t>tailored.</w:t>
            </w:r>
          </w:p>
        </w:tc>
      </w:tr>
      <w:tr w:rsidR="003E4228" w14:paraId="22A28F2D"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2B" w14:textId="77777777" w:rsidR="003E4228" w:rsidRDefault="00F03499" w:rsidP="00A7561A">
            <w:pPr>
              <w:spacing w:line="276" w:lineRule="auto"/>
              <w:jc w:val="both"/>
            </w:pPr>
            <w:r>
              <w:rPr>
                <w:b/>
                <w:bCs/>
              </w:rPr>
              <w:t>1–3</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2C" w14:textId="77777777" w:rsidR="003E4228" w:rsidRDefault="00F03499" w:rsidP="00A7561A">
            <w:pPr>
              <w:spacing w:line="276" w:lineRule="auto"/>
              <w:jc w:val="both"/>
            </w:pPr>
            <w:r>
              <w:t>Little awareness of heritage context; generic response; does not reference protected</w:t>
            </w:r>
            <w:r>
              <w:rPr>
                <w:rFonts w:ascii="Cambria Math" w:hAnsi="Cambria Math" w:cs="Cambria Math"/>
              </w:rPr>
              <w:t>‑</w:t>
            </w:r>
            <w:r>
              <w:t>structure obligations.</w:t>
            </w:r>
          </w:p>
        </w:tc>
      </w:tr>
      <w:tr w:rsidR="003E4228" w14:paraId="22A28F30"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2E" w14:textId="77777777" w:rsidR="003E4228" w:rsidRDefault="00F03499" w:rsidP="00A7561A">
            <w:pPr>
              <w:spacing w:line="276" w:lineRule="auto"/>
              <w:jc w:val="both"/>
            </w:pPr>
            <w:r>
              <w:rPr>
                <w:b/>
                <w:bCs/>
              </w:rPr>
              <w:t>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2F" w14:textId="77777777" w:rsidR="003E4228" w:rsidRDefault="00F03499" w:rsidP="00A7561A">
            <w:pPr>
              <w:spacing w:line="276" w:lineRule="auto"/>
              <w:jc w:val="both"/>
            </w:pPr>
            <w:r>
              <w:t>No meaningful response or fundamental misunderstanding of heritage requirements.</w:t>
            </w:r>
          </w:p>
        </w:tc>
      </w:tr>
    </w:tbl>
    <w:p w14:paraId="22A28F31" w14:textId="7107A9D6" w:rsidR="003E4228" w:rsidRDefault="00F03499" w:rsidP="00A7561A">
      <w:pPr>
        <w:spacing w:line="276" w:lineRule="auto"/>
        <w:jc w:val="both"/>
      </w:pPr>
      <w:r>
        <w:rPr>
          <w:i/>
          <w:iCs/>
        </w:rPr>
        <w:t xml:space="preserve">Minimum threshold: 4/10. Maximum page allowance: 4 pages A4; project references may be appended. </w:t>
      </w:r>
    </w:p>
    <w:p w14:paraId="22A28F32" w14:textId="77777777" w:rsidR="003E4228" w:rsidRDefault="00F03499" w:rsidP="00A7561A">
      <w:pPr>
        <w:spacing w:line="276" w:lineRule="auto"/>
        <w:jc w:val="both"/>
      </w:pPr>
      <w:r>
        <w:br w:type="page"/>
      </w:r>
    </w:p>
    <w:p w14:paraId="22A28F33" w14:textId="084EA9B0" w:rsidR="003E4228" w:rsidRDefault="00F03499" w:rsidP="00A7561A">
      <w:pPr>
        <w:pStyle w:val="Heading2"/>
        <w:spacing w:before="0" w:line="276" w:lineRule="auto"/>
        <w:jc w:val="both"/>
      </w:pPr>
      <w:r>
        <w:lastRenderedPageBreak/>
        <w:t>7. Criterion 4</w:t>
      </w:r>
      <w:r w:rsidR="00AF7398">
        <w:t xml:space="preserve">: </w:t>
      </w:r>
      <w:r>
        <w:t>Project Management &amp; Programme (10%)</w:t>
      </w:r>
    </w:p>
    <w:p w14:paraId="0C156B99" w14:textId="77777777" w:rsidR="00760BB2" w:rsidRPr="00760BB2" w:rsidRDefault="00760BB2" w:rsidP="00A7561A">
      <w:pPr>
        <w:jc w:val="both"/>
      </w:pPr>
    </w:p>
    <w:p w14:paraId="22A28F34" w14:textId="77777777" w:rsidR="003E4228" w:rsidRDefault="00F03499" w:rsidP="00A7561A">
      <w:pPr>
        <w:spacing w:after="100" w:line="276" w:lineRule="auto"/>
        <w:jc w:val="both"/>
      </w:pPr>
      <w:r>
        <w:t>Installing a heat pump system in a periodically occupied heritage property that operates as a public museum presents significant logistical complexity. Works must be sequenced to maintain heating continuity and minimise disruption to Trust operations and visitors, and coordinated with other specialists. This criterion assesses the tenderer’s capacity to plan, resource and deliver in a controlled, professional manner.</w:t>
      </w:r>
    </w:p>
    <w:p w14:paraId="638587CF" w14:textId="77777777" w:rsidR="00760BB2" w:rsidRDefault="00760BB2" w:rsidP="00A7561A">
      <w:pPr>
        <w:spacing w:after="100" w:line="276" w:lineRule="auto"/>
        <w:jc w:val="both"/>
      </w:pPr>
    </w:p>
    <w:p w14:paraId="22A28F35" w14:textId="77777777" w:rsidR="003E4228" w:rsidRDefault="00F03499" w:rsidP="00A7561A">
      <w:pPr>
        <w:pStyle w:val="Heading3"/>
        <w:spacing w:before="0" w:line="276" w:lineRule="auto"/>
        <w:jc w:val="both"/>
      </w:pPr>
      <w:r>
        <w:t>7.1 What Tenderers Must Address</w:t>
      </w:r>
    </w:p>
    <w:p w14:paraId="22A28F36" w14:textId="16938047" w:rsidR="003E4228" w:rsidRDefault="00F03499" w:rsidP="00A7561A">
      <w:pPr>
        <w:pStyle w:val="ListParagraph"/>
        <w:numPr>
          <w:ilvl w:val="0"/>
          <w:numId w:val="2"/>
        </w:numPr>
        <w:spacing w:after="60" w:line="276" w:lineRule="auto"/>
        <w:jc w:val="both"/>
      </w:pPr>
      <w:r>
        <w:t>A project</w:t>
      </w:r>
      <w:r>
        <w:rPr>
          <w:rFonts w:ascii="Cambria Math" w:hAnsi="Cambria Math" w:cs="Cambria Math"/>
        </w:rPr>
        <w:t>‑</w:t>
      </w:r>
      <w:r>
        <w:t>specific programme (Gantt or equivalent) from mobilisation to commissioning and handover, with realistic durations and dependencies, reflecting heritage and live</w:t>
      </w:r>
      <w:r>
        <w:rPr>
          <w:rFonts w:ascii="Cambria Math" w:hAnsi="Cambria Math" w:cs="Cambria Math"/>
        </w:rPr>
        <w:t>‑</w:t>
      </w:r>
      <w:r>
        <w:t xml:space="preserve">attraction </w:t>
      </w:r>
      <w:r w:rsidRPr="00E360C0">
        <w:t>constraints. The programme must show the retained LPG boilers remaining fully operational throughout the transition to ensure continuity</w:t>
      </w:r>
      <w:r>
        <w:t xml:space="preserve"> of heating.</w:t>
      </w:r>
    </w:p>
    <w:p w14:paraId="22A28F37" w14:textId="0C98B369" w:rsidR="003E4228" w:rsidRDefault="00F03499" w:rsidP="00A7561A">
      <w:pPr>
        <w:pStyle w:val="ListParagraph"/>
        <w:numPr>
          <w:ilvl w:val="0"/>
          <w:numId w:val="2"/>
        </w:numPr>
        <w:spacing w:after="60" w:line="276" w:lineRule="auto"/>
        <w:jc w:val="both"/>
      </w:pPr>
      <w:r>
        <w:t>Identification and allocation of key personnel, including the Responsible Person for M&amp;E works, the Site Supervisor, and the PSCS. Note the Employer has appointed SE Systems as PSDP; CVs for key personnel to be provided.</w:t>
      </w:r>
    </w:p>
    <w:p w14:paraId="22A28F38" w14:textId="77777777" w:rsidR="003E4228" w:rsidRDefault="00F03499" w:rsidP="00A7561A">
      <w:pPr>
        <w:pStyle w:val="ListParagraph"/>
        <w:numPr>
          <w:ilvl w:val="0"/>
          <w:numId w:val="2"/>
        </w:numPr>
        <w:spacing w:after="60" w:line="276" w:lineRule="auto"/>
        <w:jc w:val="both"/>
      </w:pPr>
      <w:r>
        <w:t>A risk register identifying principal risks (heritage damage, programme overrun, interface with other trades, planning conditions, commissioning delays, R290 handling) with mitigation for each.</w:t>
      </w:r>
    </w:p>
    <w:p w14:paraId="22A28F39" w14:textId="77777777" w:rsidR="003E4228" w:rsidRDefault="00F03499" w:rsidP="00A7561A">
      <w:pPr>
        <w:pStyle w:val="ListParagraph"/>
        <w:numPr>
          <w:ilvl w:val="0"/>
          <w:numId w:val="2"/>
        </w:numPr>
        <w:spacing w:after="60" w:line="276" w:lineRule="auto"/>
        <w:jc w:val="both"/>
      </w:pPr>
      <w:r>
        <w:t>Approach to coordination with the Conservation Architect, IHT facilities management, and Roscommon County Council Conservation Officer throughout the works.</w:t>
      </w:r>
    </w:p>
    <w:p w14:paraId="22A28F3A" w14:textId="77777777" w:rsidR="003E4228" w:rsidRDefault="00F03499" w:rsidP="00A7561A">
      <w:pPr>
        <w:pStyle w:val="ListParagraph"/>
        <w:numPr>
          <w:ilvl w:val="0"/>
          <w:numId w:val="2"/>
        </w:numPr>
        <w:spacing w:after="60" w:line="276" w:lineRule="auto"/>
        <w:jc w:val="both"/>
      </w:pPr>
      <w:r>
        <w:t>Communication and reporting structure with the Employer’s Representative, including progress</w:t>
      </w:r>
      <w:r>
        <w:rPr>
          <w:rFonts w:ascii="Cambria Math" w:hAnsi="Cambria Math" w:cs="Cambria Math"/>
        </w:rPr>
        <w:t>‑</w:t>
      </w:r>
      <w:r>
        <w:t>reporting frequency and escalation procedures.</w:t>
      </w:r>
    </w:p>
    <w:p w14:paraId="22A28F3B" w14:textId="77777777" w:rsidR="003E4228" w:rsidRPr="00CA665D" w:rsidRDefault="00F03499" w:rsidP="00A7561A">
      <w:pPr>
        <w:pStyle w:val="ListParagraph"/>
        <w:numPr>
          <w:ilvl w:val="0"/>
          <w:numId w:val="2"/>
        </w:numPr>
        <w:spacing w:after="60" w:line="276" w:lineRule="auto"/>
        <w:jc w:val="both"/>
      </w:pPr>
      <w:r>
        <w:t xml:space="preserve">How works will be phased to allow continued use of the building, including dust </w:t>
      </w:r>
      <w:r w:rsidRPr="00CA665D">
        <w:t>management, access control and protection of heritage fabric.</w:t>
      </w:r>
    </w:p>
    <w:p w14:paraId="22A28F3C" w14:textId="7004AAEE" w:rsidR="003E4228" w:rsidRPr="00CA665D" w:rsidRDefault="00F03499" w:rsidP="00A7561A">
      <w:pPr>
        <w:pStyle w:val="ListParagraph"/>
        <w:numPr>
          <w:ilvl w:val="0"/>
          <w:numId w:val="2"/>
        </w:numPr>
        <w:spacing w:after="60" w:line="276" w:lineRule="auto"/>
        <w:jc w:val="both"/>
      </w:pPr>
      <w:r w:rsidRPr="00CA665D">
        <w:t xml:space="preserve">Contingency arrangements for unforeseen heritage or archaeological discoveries (National Monuments Act) </w:t>
      </w:r>
      <w:r w:rsidR="00CA665D" w:rsidRPr="00CA665D">
        <w:t>and</w:t>
      </w:r>
      <w:r w:rsidRPr="00CA665D">
        <w:t xml:space="preserve"> a heightened consideration given the Famine</w:t>
      </w:r>
      <w:r w:rsidRPr="00CA665D">
        <w:rPr>
          <w:rFonts w:ascii="Cambria Math" w:hAnsi="Cambria Math" w:cs="Cambria Math"/>
        </w:rPr>
        <w:t>‑</w:t>
      </w:r>
      <w:r w:rsidRPr="00CA665D">
        <w:t>site context.</w:t>
      </w:r>
    </w:p>
    <w:p w14:paraId="7010027D" w14:textId="77777777" w:rsidR="00760BB2" w:rsidRDefault="00760BB2" w:rsidP="00A7561A">
      <w:pPr>
        <w:jc w:val="both"/>
        <w:rPr>
          <w:rFonts w:asciiTheme="majorHAnsi" w:eastAsiaTheme="majorEastAsia" w:hAnsiTheme="majorHAnsi" w:cstheme="majorBidi"/>
          <w:color w:val="1B7758" w:themeColor="accent1" w:themeShade="BF"/>
          <w:sz w:val="28"/>
          <w:szCs w:val="28"/>
        </w:rPr>
      </w:pPr>
      <w:r>
        <w:br w:type="page"/>
      </w:r>
    </w:p>
    <w:p w14:paraId="22A28F3D" w14:textId="14B7F3C8" w:rsidR="003E4228" w:rsidRDefault="00F03499" w:rsidP="00A7561A">
      <w:pPr>
        <w:pStyle w:val="Heading3"/>
        <w:spacing w:before="0" w:line="276" w:lineRule="auto"/>
        <w:jc w:val="both"/>
      </w:pPr>
      <w:r>
        <w:lastRenderedPageBreak/>
        <w:t>7.2 Scoring Guidance</w:t>
      </w:r>
      <w:r w:rsidR="00AF7398">
        <w:t xml:space="preserve">: </w:t>
      </w:r>
      <w:r>
        <w:t>Criterion 4</w:t>
      </w:r>
    </w:p>
    <w:p w14:paraId="779B583A" w14:textId="77777777" w:rsidR="00760BB2" w:rsidRPr="00760BB2" w:rsidRDefault="00760BB2" w:rsidP="00A7561A">
      <w:pPr>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7526"/>
      </w:tblGrid>
      <w:tr w:rsidR="003E4228" w14:paraId="22A28F40" w14:textId="77777777" w:rsidTr="00760BB2">
        <w:trPr>
          <w:tblHeader/>
        </w:trPr>
        <w:tc>
          <w:tcPr>
            <w:tcW w:w="15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F3E" w14:textId="77777777" w:rsidR="003E4228" w:rsidRDefault="00F03499" w:rsidP="00A7561A">
            <w:pPr>
              <w:spacing w:line="276" w:lineRule="auto"/>
              <w:jc w:val="both"/>
            </w:pPr>
            <w:r>
              <w:rPr>
                <w:b/>
                <w:bCs/>
                <w:color w:val="FFFFFF"/>
              </w:rPr>
              <w:t>Score</w:t>
            </w:r>
          </w:p>
        </w:tc>
        <w:tc>
          <w:tcPr>
            <w:tcW w:w="75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F3F" w14:textId="77777777" w:rsidR="003E4228" w:rsidRDefault="00F03499" w:rsidP="00A7561A">
            <w:pPr>
              <w:spacing w:line="276" w:lineRule="auto"/>
              <w:jc w:val="both"/>
            </w:pPr>
            <w:r>
              <w:rPr>
                <w:b/>
                <w:bCs/>
                <w:color w:val="FFFFFF"/>
              </w:rPr>
              <w:t>Descriptor</w:t>
            </w:r>
          </w:p>
        </w:tc>
      </w:tr>
      <w:tr w:rsidR="003E4228" w14:paraId="22A28F43"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41" w14:textId="77777777" w:rsidR="003E4228" w:rsidRDefault="00F03499" w:rsidP="00A7561A">
            <w:pPr>
              <w:spacing w:line="276" w:lineRule="auto"/>
              <w:jc w:val="both"/>
            </w:pPr>
            <w:r>
              <w:rPr>
                <w:b/>
                <w:bCs/>
              </w:rPr>
              <w:t>10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42" w14:textId="77777777" w:rsidR="003E4228" w:rsidRDefault="00F03499" w:rsidP="00A7561A">
            <w:pPr>
              <w:spacing w:line="276" w:lineRule="auto"/>
              <w:jc w:val="both"/>
            </w:pPr>
            <w:r>
              <w:t>Detailed programme with milestones; clear risk register; named key personnel with CVs; robust coordination with other trades and the conservation officer; fully demonstrates understanding of site complexity and heating continuity.</w:t>
            </w:r>
          </w:p>
        </w:tc>
      </w:tr>
      <w:tr w:rsidR="003E4228" w14:paraId="22A28F46"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44" w14:textId="77777777" w:rsidR="003E4228" w:rsidRDefault="00F03499" w:rsidP="00A7561A">
            <w:pPr>
              <w:spacing w:line="276" w:lineRule="auto"/>
              <w:jc w:val="both"/>
            </w:pPr>
            <w:r>
              <w:rPr>
                <w:b/>
                <w:bCs/>
              </w:rPr>
              <w:t>7–9</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45" w14:textId="77777777" w:rsidR="003E4228" w:rsidRDefault="00F03499" w:rsidP="00A7561A">
            <w:pPr>
              <w:spacing w:line="276" w:lineRule="auto"/>
              <w:jc w:val="both"/>
            </w:pPr>
            <w:r>
              <w:t>Good programme and resource plan; key risks identified; coordination outlined with some gaps.</w:t>
            </w:r>
          </w:p>
        </w:tc>
      </w:tr>
      <w:tr w:rsidR="003E4228" w14:paraId="22A28F49"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47" w14:textId="77777777" w:rsidR="003E4228" w:rsidRDefault="00F03499" w:rsidP="00A7561A">
            <w:pPr>
              <w:spacing w:line="276" w:lineRule="auto"/>
              <w:jc w:val="both"/>
            </w:pPr>
            <w:r>
              <w:rPr>
                <w:b/>
                <w:bCs/>
              </w:rPr>
              <w:t>4–6</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48" w14:textId="77777777" w:rsidR="003E4228" w:rsidRDefault="00F03499" w:rsidP="00A7561A">
            <w:pPr>
              <w:spacing w:line="276" w:lineRule="auto"/>
              <w:jc w:val="both"/>
            </w:pPr>
            <w:r>
              <w:t>Programme present but high</w:t>
            </w:r>
            <w:r>
              <w:rPr>
                <w:rFonts w:ascii="Cambria Math" w:hAnsi="Cambria Math" w:cs="Cambria Math"/>
              </w:rPr>
              <w:t>‑</w:t>
            </w:r>
            <w:r>
              <w:t>level; limited risk detail; generic coordination.</w:t>
            </w:r>
          </w:p>
        </w:tc>
      </w:tr>
      <w:tr w:rsidR="003E4228" w14:paraId="22A28F4C"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4A" w14:textId="77777777" w:rsidR="003E4228" w:rsidRDefault="00F03499" w:rsidP="00A7561A">
            <w:pPr>
              <w:spacing w:line="276" w:lineRule="auto"/>
              <w:jc w:val="both"/>
            </w:pPr>
            <w:r>
              <w:rPr>
                <w:b/>
                <w:bCs/>
              </w:rPr>
              <w:t>1–3</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4B" w14:textId="77777777" w:rsidR="003E4228" w:rsidRDefault="00F03499" w:rsidP="00A7561A">
            <w:pPr>
              <w:spacing w:line="276" w:lineRule="auto"/>
              <w:jc w:val="both"/>
            </w:pPr>
            <w:r>
              <w:t>Weak programme; risks not adequately considered; limited confidence in delivery.</w:t>
            </w:r>
          </w:p>
        </w:tc>
      </w:tr>
      <w:tr w:rsidR="003E4228" w14:paraId="22A28F4F"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4D" w14:textId="77777777" w:rsidR="003E4228" w:rsidRDefault="00F03499" w:rsidP="00A7561A">
            <w:pPr>
              <w:spacing w:line="276" w:lineRule="auto"/>
              <w:jc w:val="both"/>
            </w:pPr>
            <w:r>
              <w:rPr>
                <w:b/>
                <w:bCs/>
              </w:rPr>
              <w:t>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4E" w14:textId="77777777" w:rsidR="003E4228" w:rsidRDefault="00F03499" w:rsidP="00A7561A">
            <w:pPr>
              <w:spacing w:line="276" w:lineRule="auto"/>
              <w:jc w:val="both"/>
            </w:pPr>
            <w:r>
              <w:t>No programme or wholly inadequate response.</w:t>
            </w:r>
          </w:p>
        </w:tc>
      </w:tr>
    </w:tbl>
    <w:p w14:paraId="22A28F50" w14:textId="0FBB1D7B" w:rsidR="003E4228" w:rsidRDefault="00F03499" w:rsidP="00A7561A">
      <w:pPr>
        <w:spacing w:line="276" w:lineRule="auto"/>
        <w:jc w:val="both"/>
      </w:pPr>
      <w:r>
        <w:rPr>
          <w:i/>
          <w:iCs/>
        </w:rPr>
        <w:t>Maximum page allowance: 4 pages A4 plus programme as an appendix.</w:t>
      </w:r>
    </w:p>
    <w:p w14:paraId="22A28F51" w14:textId="77777777" w:rsidR="003E4228" w:rsidRDefault="00F03499" w:rsidP="00A7561A">
      <w:pPr>
        <w:spacing w:line="276" w:lineRule="auto"/>
        <w:jc w:val="both"/>
      </w:pPr>
      <w:r>
        <w:br w:type="page"/>
      </w:r>
    </w:p>
    <w:p w14:paraId="22A28F52" w14:textId="47D812C5" w:rsidR="003E4228" w:rsidRDefault="00F03499" w:rsidP="00A7561A">
      <w:pPr>
        <w:pStyle w:val="Heading2"/>
        <w:spacing w:before="0" w:line="276" w:lineRule="auto"/>
        <w:jc w:val="both"/>
      </w:pPr>
      <w:r>
        <w:lastRenderedPageBreak/>
        <w:t>8. Criterion 5</w:t>
      </w:r>
      <w:r w:rsidR="00AF7398">
        <w:t xml:space="preserve">: </w:t>
      </w:r>
      <w:r>
        <w:t>Environmental Sustainability &amp; Whole</w:t>
      </w:r>
      <w:r>
        <w:rPr>
          <w:rFonts w:ascii="Cambria Math" w:hAnsi="Cambria Math" w:cs="Cambria Math"/>
        </w:rPr>
        <w:t>‑</w:t>
      </w:r>
      <w:r>
        <w:t>Life Cost (10%)</w:t>
      </w:r>
    </w:p>
    <w:p w14:paraId="6A7F5C23" w14:textId="77777777" w:rsidR="00760BB2" w:rsidRPr="00760BB2" w:rsidRDefault="00760BB2" w:rsidP="00A7561A">
      <w:pPr>
        <w:jc w:val="both"/>
      </w:pPr>
    </w:p>
    <w:p w14:paraId="22A28F53" w14:textId="77777777" w:rsidR="003E4228" w:rsidRDefault="00F03499" w:rsidP="00A7561A">
      <w:pPr>
        <w:spacing w:after="100" w:line="276" w:lineRule="auto"/>
        <w:jc w:val="both"/>
      </w:pPr>
      <w:r>
        <w:t>As a publicly funded, SSRH</w:t>
      </w:r>
      <w:r>
        <w:rPr>
          <w:rFonts w:ascii="Cambria Math" w:hAnsi="Cambria Math" w:cs="Cambria Math"/>
        </w:rPr>
        <w:t>‑</w:t>
      </w:r>
      <w:r>
        <w:t>aided procurement, whole</w:t>
      </w:r>
      <w:r>
        <w:rPr>
          <w:rFonts w:ascii="Cambria Math" w:hAnsi="Cambria Math" w:cs="Cambria Math"/>
        </w:rPr>
        <w:t>‑</w:t>
      </w:r>
      <w:r>
        <w:t>life value for money and protection of the modelled performance are key objectives. The heat pumps and principal ancillaries have already been selected by the Employer’s consultant; design SPF, refrigerant, heating load and energy/carbon performance are established by the design team. This criterion assesses the environmental and whole</w:t>
      </w:r>
      <w:r>
        <w:rPr>
          <w:rFonts w:ascii="Cambria Math" w:hAnsi="Cambria Math" w:cs="Cambria Math"/>
        </w:rPr>
        <w:t>‑</w:t>
      </w:r>
      <w:r>
        <w:t>life elements within the contractor</w:t>
      </w:r>
      <w:r>
        <w:rPr>
          <w:rFonts w:ascii="Aptos" w:hAnsi="Aptos" w:cs="Aptos"/>
        </w:rPr>
        <w:t>’</w:t>
      </w:r>
      <w:r>
        <w:t>s control: faithful installation of the specified equipment, protection of the design SPF, refrigerant handling, warranty registration, the maintenance offer, SSRH grant support, and construction</w:t>
      </w:r>
      <w:r>
        <w:rPr>
          <w:rFonts w:ascii="Cambria Math" w:hAnsi="Cambria Math" w:cs="Cambria Math"/>
        </w:rPr>
        <w:t>‑</w:t>
      </w:r>
      <w:r>
        <w:t>stage waste.</w:t>
      </w:r>
    </w:p>
    <w:p w14:paraId="6E62F161" w14:textId="77777777" w:rsidR="00760BB2" w:rsidRDefault="00760BB2" w:rsidP="00A7561A">
      <w:pPr>
        <w:spacing w:after="100" w:line="276" w:lineRule="auto"/>
        <w:jc w:val="both"/>
      </w:pPr>
    </w:p>
    <w:p w14:paraId="22A28F54" w14:textId="77777777" w:rsidR="003E4228" w:rsidRDefault="00F03499" w:rsidP="00A7561A">
      <w:pPr>
        <w:pStyle w:val="Heading3"/>
        <w:spacing w:before="0" w:line="276" w:lineRule="auto"/>
        <w:jc w:val="both"/>
      </w:pPr>
      <w:r>
        <w:t>8.1 What Tenderers Must Address</w:t>
      </w:r>
    </w:p>
    <w:p w14:paraId="22A28F55" w14:textId="146DF2ED" w:rsidR="003E4228" w:rsidRDefault="00F03499" w:rsidP="00A7561A">
      <w:pPr>
        <w:pStyle w:val="ListParagraph"/>
        <w:numPr>
          <w:ilvl w:val="0"/>
          <w:numId w:val="2"/>
        </w:numPr>
        <w:spacing w:after="60" w:line="276" w:lineRule="auto"/>
        <w:jc w:val="both"/>
      </w:pPr>
      <w:r>
        <w:rPr>
          <w:b/>
          <w:bCs/>
        </w:rPr>
        <w:t xml:space="preserve">Acknowledgement of Specified Equipment: </w:t>
      </w:r>
      <w:r>
        <w:t>confirmation that the specified BA90iP R290 units and principal ancillaries are listed on the SEAI Triple</w:t>
      </w:r>
      <w:r>
        <w:rPr>
          <w:rFonts w:ascii="Cambria Math" w:hAnsi="Cambria Math" w:cs="Cambria Math"/>
        </w:rPr>
        <w:t>‑</w:t>
      </w:r>
      <w:r>
        <w:t>E Product Register and the SEAI Heat Pump Registered Product List</w:t>
      </w:r>
      <w:r w:rsidR="00761BEC">
        <w:t xml:space="preserve"> and carbonregister.ie</w:t>
      </w:r>
      <w:r>
        <w:t>, that the contractor will install exactly that equipment, and that no substitution will be made without the written consent of the Employer’s Representative. Any flagged equivalent must be of equal or better SEAI listing and SPF, with datasheets and SEAI registration evidence appended.</w:t>
      </w:r>
    </w:p>
    <w:p w14:paraId="22A28F56" w14:textId="77777777" w:rsidR="003E4228" w:rsidRDefault="00F03499" w:rsidP="00A7561A">
      <w:pPr>
        <w:pStyle w:val="ListParagraph"/>
        <w:numPr>
          <w:ilvl w:val="0"/>
          <w:numId w:val="2"/>
        </w:numPr>
        <w:spacing w:after="60" w:line="276" w:lineRule="auto"/>
        <w:jc w:val="both"/>
      </w:pPr>
      <w:r>
        <w:rPr>
          <w:b/>
          <w:bCs/>
        </w:rPr>
        <w:t xml:space="preserve">Protection of Design SPF Through Installation: </w:t>
      </w:r>
      <w:r>
        <w:t>how installation and commissioning will preserve the design Seasonal Performance Factor (target SCOP ≥ 3.5), addressing: continuity and quality of pipework insulation; hydraulic balancing to the design flow rates and ΔT; refrigerant pipework lengths and elevations within the manufacturer’s permitted limits; controls set</w:t>
      </w:r>
      <w:r>
        <w:rPr>
          <w:rFonts w:ascii="Cambria Math" w:hAnsi="Cambria Math" w:cs="Cambria Math"/>
        </w:rPr>
        <w:t>‑</w:t>
      </w:r>
      <w:r>
        <w:t>up to the design weather</w:t>
      </w:r>
      <w:r>
        <w:rPr>
          <w:rFonts w:ascii="Cambria Math" w:hAnsi="Cambria Math" w:cs="Cambria Math"/>
        </w:rPr>
        <w:t>‑</w:t>
      </w:r>
      <w:r>
        <w:t>compensation strategy; avoidance of short</w:t>
      </w:r>
      <w:r>
        <w:rPr>
          <w:rFonts w:ascii="Cambria Math" w:hAnsi="Cambria Math" w:cs="Cambria Math"/>
        </w:rPr>
        <w:t>‑</w:t>
      </w:r>
      <w:r>
        <w:t>cycling through correct buffer</w:t>
      </w:r>
      <w:r>
        <w:rPr>
          <w:rFonts w:ascii="Cambria Math" w:hAnsi="Cambria Math" w:cs="Cambria Math"/>
        </w:rPr>
        <w:t>‑</w:t>
      </w:r>
      <w:r>
        <w:t>vessel and pump configuration; and verification at witnessed commissioning.</w:t>
      </w:r>
    </w:p>
    <w:p w14:paraId="22A28F57" w14:textId="77777777" w:rsidR="003E4228" w:rsidRDefault="00F03499" w:rsidP="00A7561A">
      <w:pPr>
        <w:pStyle w:val="ListParagraph"/>
        <w:numPr>
          <w:ilvl w:val="0"/>
          <w:numId w:val="2"/>
        </w:numPr>
        <w:spacing w:after="60" w:line="276" w:lineRule="auto"/>
        <w:jc w:val="both"/>
      </w:pPr>
      <w:r>
        <w:rPr>
          <w:b/>
          <w:bCs/>
        </w:rPr>
        <w:t>Refrigerant Handling &amp; Flammable</w:t>
      </w:r>
      <w:r>
        <w:rPr>
          <w:rFonts w:ascii="Cambria Math" w:hAnsi="Cambria Math" w:cs="Cambria Math"/>
          <w:b/>
          <w:bCs/>
        </w:rPr>
        <w:t>‑</w:t>
      </w:r>
      <w:r>
        <w:rPr>
          <w:b/>
          <w:bCs/>
        </w:rPr>
        <w:t xml:space="preserve">Refrigerant Safety: </w:t>
      </w:r>
      <w:r>
        <w:t>confirmation that all handling of the R290 (propane) charge will be carried out by personnel holding current EPA F</w:t>
      </w:r>
      <w:r>
        <w:rPr>
          <w:rFonts w:ascii="Cambria Math" w:hAnsi="Cambria Math" w:cs="Cambria Math"/>
        </w:rPr>
        <w:t>‑</w:t>
      </w:r>
      <w:r>
        <w:t>Gas certification in accordance with Regulation (EU) 2024/573 and in compliance with I.S. EN 378 Parts 1</w:t>
      </w:r>
      <w:r>
        <w:rPr>
          <w:rFonts w:ascii="Aptos" w:hAnsi="Aptos" w:cs="Aptos"/>
        </w:rPr>
        <w:t>–</w:t>
      </w:r>
      <w:r>
        <w:t>4 for the flammable (A3) refrigerant, with appropriate ignition</w:t>
      </w:r>
      <w:r>
        <w:rPr>
          <w:rFonts w:ascii="Cambria Math" w:hAnsi="Cambria Math" w:cs="Cambria Math"/>
        </w:rPr>
        <w:t>‑</w:t>
      </w:r>
      <w:r>
        <w:t>source, ventilation, detection, signage and separation</w:t>
      </w:r>
      <w:r>
        <w:rPr>
          <w:rFonts w:ascii="Cambria Math" w:hAnsi="Cambria Math" w:cs="Cambria Math"/>
        </w:rPr>
        <w:t>‑</w:t>
      </w:r>
      <w:r>
        <w:t>distance controls during brazing, evacuation and charging. The contractor must describe leak</w:t>
      </w:r>
      <w:r>
        <w:rPr>
          <w:rFonts w:ascii="Cambria Math" w:hAnsi="Cambria Math" w:cs="Cambria Math"/>
        </w:rPr>
        <w:t>‑</w:t>
      </w:r>
      <w:r>
        <w:t>tightness testing, evacuation/charging methodology, and the refrigerant logbook to be issued at handover, together with end</w:t>
      </w:r>
      <w:r>
        <w:rPr>
          <w:rFonts w:ascii="Cambria Math" w:hAnsi="Cambria Math" w:cs="Cambria Math"/>
        </w:rPr>
        <w:t>‑</w:t>
      </w:r>
      <w:r>
        <w:t>of</w:t>
      </w:r>
      <w:r>
        <w:rPr>
          <w:rFonts w:ascii="Cambria Math" w:hAnsi="Cambria Math" w:cs="Cambria Math"/>
        </w:rPr>
        <w:t>‑</w:t>
      </w:r>
      <w:r>
        <w:t>life recovery obligations transferring with the asset.</w:t>
      </w:r>
    </w:p>
    <w:p w14:paraId="22A28F58" w14:textId="77777777" w:rsidR="003E4228" w:rsidRDefault="00F03499" w:rsidP="00A7561A">
      <w:pPr>
        <w:pStyle w:val="ListParagraph"/>
        <w:numPr>
          <w:ilvl w:val="0"/>
          <w:numId w:val="2"/>
        </w:numPr>
        <w:spacing w:after="60" w:line="276" w:lineRule="auto"/>
        <w:jc w:val="both"/>
      </w:pPr>
      <w:r>
        <w:rPr>
          <w:b/>
          <w:bCs/>
        </w:rPr>
        <w:t xml:space="preserve">Warranty Registration &amp; Maintenance Offer: </w:t>
      </w:r>
      <w:r>
        <w:t>confirmation that the manufacturer warranty will be registered in IHT’s name at commissioning, with the registration certificate provided at handover. The heat pumps’ warranty shall be registered to achieve the extended 7</w:t>
      </w:r>
      <w:r>
        <w:rPr>
          <w:rFonts w:ascii="Cambria Math" w:hAnsi="Cambria Math" w:cs="Cambria Math"/>
        </w:rPr>
        <w:t>‑</w:t>
      </w:r>
      <w:r>
        <w:t>year (84</w:t>
      </w:r>
      <w:r>
        <w:rPr>
          <w:rFonts w:ascii="Cambria Math" w:hAnsi="Cambria Math" w:cs="Cambria Math"/>
        </w:rPr>
        <w:t>‑</w:t>
      </w:r>
      <w:r>
        <w:t>month) MasterTherm term, conditional on the NeoBox being fitted and permanently internet</w:t>
      </w:r>
      <w:r>
        <w:rPr>
          <w:rFonts w:ascii="Cambria Math" w:hAnsi="Cambria Math" w:cs="Cambria Math"/>
        </w:rPr>
        <w:t>‑</w:t>
      </w:r>
      <w:r>
        <w:t>connected for monitoring (exceeding the 5</w:t>
      </w:r>
      <w:r>
        <w:rPr>
          <w:rFonts w:ascii="Cambria Math" w:hAnsi="Cambria Math" w:cs="Cambria Math"/>
        </w:rPr>
        <w:t>‑</w:t>
      </w:r>
      <w:r>
        <w:t>year compressor / 2</w:t>
      </w:r>
      <w:r>
        <w:rPr>
          <w:rFonts w:ascii="Cambria Math" w:hAnsi="Cambria Math" w:cs="Cambria Math"/>
        </w:rPr>
        <w:t>‑</w:t>
      </w:r>
      <w:r>
        <w:t>year balance floor). The contractor must also offer a workmanship warranty (minimum 12 months) and a costed Planned Preventative Maintenance (PPM) offer covering annual service scope (including NeoBox connectivity); first</w:t>
      </w:r>
      <w:r>
        <w:rPr>
          <w:rFonts w:ascii="Cambria Math" w:hAnsi="Cambria Math" w:cs="Cambria Math"/>
        </w:rPr>
        <w:t>‑</w:t>
      </w:r>
      <w:r>
        <w:t>call response/SLA tiers; fixed annual price for years 1</w:t>
      </w:r>
      <w:r>
        <w:rPr>
          <w:rFonts w:ascii="Aptos" w:hAnsi="Aptos" w:cs="Aptos"/>
        </w:rPr>
        <w:t>–</w:t>
      </w:r>
      <w:r>
        <w:t>5 with escalation thereafter; out</w:t>
      </w:r>
      <w:r>
        <w:rPr>
          <w:rFonts w:ascii="Cambria Math" w:hAnsi="Cambria Math" w:cs="Cambria Math"/>
        </w:rPr>
        <w:t>‑</w:t>
      </w:r>
      <w:r>
        <w:t>of</w:t>
      </w:r>
      <w:r>
        <w:rPr>
          <w:rFonts w:ascii="Cambria Math" w:hAnsi="Cambria Math" w:cs="Cambria Math"/>
        </w:rPr>
        <w:t>‑</w:t>
      </w:r>
      <w:r>
        <w:t>hours arrangements; and expected consumable/wear</w:t>
      </w:r>
      <w:r>
        <w:rPr>
          <w:rFonts w:ascii="Cambria Math" w:hAnsi="Cambria Math" w:cs="Cambria Math"/>
        </w:rPr>
        <w:t>‑</w:t>
      </w:r>
      <w:r>
        <w:t>part replacements over the 20</w:t>
      </w:r>
      <w:r>
        <w:rPr>
          <w:rFonts w:ascii="Cambria Math" w:hAnsi="Cambria Math" w:cs="Cambria Math"/>
        </w:rPr>
        <w:t>‑</w:t>
      </w:r>
      <w:r>
        <w:t>year appraisal period.</w:t>
      </w:r>
    </w:p>
    <w:p w14:paraId="22A28F59" w14:textId="77777777" w:rsidR="003E4228" w:rsidRDefault="00F03499" w:rsidP="00A7561A">
      <w:pPr>
        <w:pStyle w:val="ListParagraph"/>
        <w:numPr>
          <w:ilvl w:val="0"/>
          <w:numId w:val="2"/>
        </w:numPr>
        <w:spacing w:after="60" w:line="276" w:lineRule="auto"/>
        <w:jc w:val="both"/>
      </w:pPr>
      <w:r>
        <w:rPr>
          <w:b/>
          <w:bCs/>
        </w:rPr>
        <w:lastRenderedPageBreak/>
        <w:t xml:space="preserve">SSRH Grant Administration Support: </w:t>
      </w:r>
      <w:r>
        <w:t>confirmation that the contractor, as an SEAI</w:t>
      </w:r>
      <w:r>
        <w:rPr>
          <w:rFonts w:ascii="Cambria Math" w:hAnsi="Cambria Math" w:cs="Cambria Math"/>
        </w:rPr>
        <w:t>‑</w:t>
      </w:r>
      <w:r>
        <w:t>Registered Heat Pump Installer, will provide all installer</w:t>
      </w:r>
      <w:r>
        <w:rPr>
          <w:rFonts w:ascii="Cambria Math" w:hAnsi="Cambria Math" w:cs="Cambria Math"/>
        </w:rPr>
        <w:t>‑</w:t>
      </w:r>
      <w:r>
        <w:t>side documentation required for the Trust</w:t>
      </w:r>
      <w:r>
        <w:rPr>
          <w:rFonts w:ascii="Aptos" w:hAnsi="Aptos" w:cs="Aptos"/>
        </w:rPr>
        <w:t>’</w:t>
      </w:r>
      <w:r>
        <w:t>s claim under the SEAI Support Scheme for Renewable Heat (SSRH) via GSORG, including the registered</w:t>
      </w:r>
      <w:r>
        <w:rPr>
          <w:rFonts w:ascii="Cambria Math" w:hAnsi="Cambria Math" w:cs="Cambria Math"/>
        </w:rPr>
        <w:t>‑</w:t>
      </w:r>
      <w:r>
        <w:t>installer declaration, the commissioning certificate in SEAI format, equipment datasheets, heat</w:t>
      </w:r>
      <w:r>
        <w:rPr>
          <w:rFonts w:ascii="Cambria Math" w:hAnsi="Cambria Math" w:cs="Cambria Math"/>
        </w:rPr>
        <w:t>‑</w:t>
      </w:r>
      <w:r>
        <w:t>metering / MRV provisions, and any post</w:t>
      </w:r>
      <w:r>
        <w:rPr>
          <w:rFonts w:ascii="Cambria Math" w:hAnsi="Cambria Math" w:cs="Cambria Math"/>
        </w:rPr>
        <w:t>‑</w:t>
      </w:r>
      <w:r>
        <w:t>works documentation requested by SEAI, supporting the Completion Report and the Design Engineer</w:t>
      </w:r>
      <w:r>
        <w:rPr>
          <w:rFonts w:ascii="Aptos" w:hAnsi="Aptos" w:cs="Aptos"/>
        </w:rPr>
        <w:t>’</w:t>
      </w:r>
      <w:r>
        <w:t>s declaration. The grant claim remains an action of the Trust; the contractor’s obligation is to enable it without delay.</w:t>
      </w:r>
    </w:p>
    <w:p w14:paraId="22A28F5A" w14:textId="7960A1B4" w:rsidR="003E4228" w:rsidRDefault="00F03499" w:rsidP="00A7561A">
      <w:pPr>
        <w:pStyle w:val="ListParagraph"/>
        <w:numPr>
          <w:ilvl w:val="0"/>
          <w:numId w:val="2"/>
        </w:numPr>
        <w:spacing w:after="60" w:line="276" w:lineRule="auto"/>
        <w:jc w:val="both"/>
      </w:pPr>
      <w:r>
        <w:rPr>
          <w:b/>
          <w:bCs/>
        </w:rPr>
        <w:t>Construction</w:t>
      </w:r>
      <w:r>
        <w:rPr>
          <w:rFonts w:ascii="Cambria Math" w:hAnsi="Cambria Math" w:cs="Cambria Math"/>
          <w:b/>
          <w:bCs/>
        </w:rPr>
        <w:t>‑</w:t>
      </w:r>
      <w:r>
        <w:rPr>
          <w:b/>
          <w:bCs/>
        </w:rPr>
        <w:t xml:space="preserve">Stage Waste: </w:t>
      </w:r>
      <w:r>
        <w:t>a site</w:t>
      </w:r>
      <w:r>
        <w:rPr>
          <w:rFonts w:ascii="Cambria Math" w:hAnsi="Cambria Math" w:cs="Cambria Math"/>
        </w:rPr>
        <w:t>‑</w:t>
      </w:r>
      <w:r>
        <w:t>specific Construction &amp; Demolition Waste Management Plan compliant with current EPA guidance, with a stated diversion</w:t>
      </w:r>
      <w:r>
        <w:rPr>
          <w:rFonts w:ascii="Cambria Math" w:hAnsi="Cambria Math" w:cs="Cambria Math"/>
        </w:rPr>
        <w:t>‑</w:t>
      </w:r>
      <w:r>
        <w:t>from</w:t>
      </w:r>
      <w:r>
        <w:rPr>
          <w:rFonts w:ascii="Cambria Math" w:hAnsi="Cambria Math" w:cs="Cambria Math"/>
        </w:rPr>
        <w:t>‑</w:t>
      </w:r>
      <w:r>
        <w:t xml:space="preserve">landfill target (minimum 70%) and segregation arrangements appropriate to a Protected Structure, plus a logistics plan minimising vehicle </w:t>
      </w:r>
      <w:r w:rsidR="00CA665D">
        <w:t>movement</w:t>
      </w:r>
      <w:r>
        <w:t xml:space="preserve"> with consolidated deliveries and a designated laydown area.</w:t>
      </w:r>
    </w:p>
    <w:p w14:paraId="22A28F5B" w14:textId="77777777" w:rsidR="003E4228" w:rsidRDefault="00F03499" w:rsidP="00A7561A">
      <w:pPr>
        <w:pStyle w:val="ListParagraph"/>
        <w:numPr>
          <w:ilvl w:val="0"/>
          <w:numId w:val="2"/>
        </w:numPr>
        <w:spacing w:after="60" w:line="276" w:lineRule="auto"/>
        <w:jc w:val="both"/>
      </w:pPr>
      <w:r>
        <w:rPr>
          <w:b/>
          <w:bCs/>
        </w:rPr>
        <w:t>Whole</w:t>
      </w:r>
      <w:r>
        <w:rPr>
          <w:rFonts w:ascii="Cambria Math" w:hAnsi="Cambria Math" w:cs="Cambria Math"/>
          <w:b/>
          <w:bCs/>
        </w:rPr>
        <w:t>‑</w:t>
      </w:r>
      <w:r>
        <w:rPr>
          <w:b/>
          <w:bCs/>
        </w:rPr>
        <w:t>Life Cost Inputs Within the Contractor</w:t>
      </w:r>
      <w:r>
        <w:rPr>
          <w:rFonts w:ascii="Aptos" w:hAnsi="Aptos" w:cs="Aptos"/>
          <w:b/>
          <w:bCs/>
        </w:rPr>
        <w:t>’</w:t>
      </w:r>
      <w:r>
        <w:rPr>
          <w:b/>
          <w:bCs/>
        </w:rPr>
        <w:t xml:space="preserve">s Control: </w:t>
      </w:r>
      <w:r>
        <w:t>a completed Whole</w:t>
      </w:r>
      <w:r>
        <w:rPr>
          <w:rFonts w:ascii="Cambria Math" w:hAnsi="Cambria Math" w:cs="Cambria Math"/>
        </w:rPr>
        <w:t>‑</w:t>
      </w:r>
      <w:r>
        <w:t>Life Cost Input Schedule covering installed capital cost (cross</w:t>
      </w:r>
      <w:r>
        <w:rPr>
          <w:rFonts w:ascii="Cambria Math" w:hAnsi="Cambria Math" w:cs="Cambria Math"/>
        </w:rPr>
        <w:t>‑</w:t>
      </w:r>
      <w:r>
        <w:t>referenced to the Form of Tender); fixed annual PPM cost for years 1</w:t>
      </w:r>
      <w:r>
        <w:rPr>
          <w:rFonts w:ascii="Aptos" w:hAnsi="Aptos" w:cs="Aptos"/>
        </w:rPr>
        <w:t>–</w:t>
      </w:r>
      <w:r>
        <w:t>5 and indicative for years 6</w:t>
      </w:r>
      <w:r>
        <w:rPr>
          <w:rFonts w:ascii="Aptos" w:hAnsi="Aptos" w:cs="Aptos"/>
        </w:rPr>
        <w:t>–</w:t>
      </w:r>
      <w:r>
        <w:t>20; expected consumable/wear</w:t>
      </w:r>
      <w:r>
        <w:rPr>
          <w:rFonts w:ascii="Cambria Math" w:hAnsi="Cambria Math" w:cs="Cambria Math"/>
        </w:rPr>
        <w:t>‑</w:t>
      </w:r>
      <w:r>
        <w:t>part replacement schedule with unit costs; and an indicative end</w:t>
      </w:r>
      <w:r>
        <w:rPr>
          <w:rFonts w:ascii="Cambria Math" w:hAnsi="Cambria Math" w:cs="Cambria Math"/>
        </w:rPr>
        <w:t>‑</w:t>
      </w:r>
      <w:r>
        <w:t>of</w:t>
      </w:r>
      <w:r>
        <w:rPr>
          <w:rFonts w:ascii="Cambria Math" w:hAnsi="Cambria Math" w:cs="Cambria Math"/>
        </w:rPr>
        <w:t>‑</w:t>
      </w:r>
      <w:r>
        <w:t>design</w:t>
      </w:r>
      <w:r>
        <w:rPr>
          <w:rFonts w:ascii="Cambria Math" w:hAnsi="Cambria Math" w:cs="Cambria Math"/>
        </w:rPr>
        <w:t>‑</w:t>
      </w:r>
      <w:r>
        <w:t>life refurbishment cost at year 15</w:t>
      </w:r>
      <w:r>
        <w:rPr>
          <w:rFonts w:ascii="Aptos" w:hAnsi="Aptos" w:cs="Aptos"/>
        </w:rPr>
        <w:t>–</w:t>
      </w:r>
      <w:r>
        <w:t>20. The Employer will combine these with the design</w:t>
      </w:r>
      <w:r>
        <w:rPr>
          <w:rFonts w:ascii="Cambria Math" w:hAnsi="Cambria Math" w:cs="Cambria Math"/>
        </w:rPr>
        <w:t>‑</w:t>
      </w:r>
      <w:r>
        <w:t>team energy and carbon projections; tenderers are not required to model energy, carbon or electricity</w:t>
      </w:r>
      <w:r>
        <w:rPr>
          <w:rFonts w:ascii="Cambria Math" w:hAnsi="Cambria Math" w:cs="Cambria Math"/>
        </w:rPr>
        <w:t>‑</w:t>
      </w:r>
      <w:r>
        <w:t>price trajectories.</w:t>
      </w:r>
    </w:p>
    <w:p w14:paraId="7AC3050B" w14:textId="77777777" w:rsidR="000A5492" w:rsidRDefault="000A5492" w:rsidP="00A7561A">
      <w:pPr>
        <w:jc w:val="both"/>
        <w:rPr>
          <w:rFonts w:asciiTheme="majorHAnsi" w:eastAsiaTheme="majorEastAsia" w:hAnsiTheme="majorHAnsi" w:cstheme="majorBidi"/>
          <w:color w:val="1B7758" w:themeColor="accent1" w:themeShade="BF"/>
          <w:sz w:val="28"/>
          <w:szCs w:val="28"/>
        </w:rPr>
      </w:pPr>
      <w:r>
        <w:br w:type="page"/>
      </w:r>
    </w:p>
    <w:p w14:paraId="22A28F5C" w14:textId="26C1FAE6" w:rsidR="003E4228" w:rsidRDefault="00F03499" w:rsidP="00A7561A">
      <w:pPr>
        <w:pStyle w:val="Heading3"/>
        <w:spacing w:before="0" w:line="276" w:lineRule="auto"/>
        <w:jc w:val="both"/>
      </w:pPr>
      <w:r>
        <w:lastRenderedPageBreak/>
        <w:t>8.2 Scoring Guidance</w:t>
      </w:r>
      <w:r w:rsidR="00AF7398">
        <w:t xml:space="preserve">: </w:t>
      </w:r>
      <w:r>
        <w:t>Criterion 5</w:t>
      </w:r>
    </w:p>
    <w:p w14:paraId="36226288" w14:textId="77777777" w:rsidR="000A5492" w:rsidRPr="000A5492" w:rsidRDefault="000A5492" w:rsidP="00A7561A">
      <w:pPr>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7526"/>
      </w:tblGrid>
      <w:tr w:rsidR="003E4228" w14:paraId="22A28F5F" w14:textId="77777777" w:rsidTr="000A5492">
        <w:trPr>
          <w:tblHeader/>
        </w:trPr>
        <w:tc>
          <w:tcPr>
            <w:tcW w:w="15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F5D" w14:textId="77777777" w:rsidR="003E4228" w:rsidRDefault="00F03499" w:rsidP="00A7561A">
            <w:pPr>
              <w:spacing w:line="276" w:lineRule="auto"/>
              <w:jc w:val="both"/>
            </w:pPr>
            <w:r>
              <w:rPr>
                <w:b/>
                <w:bCs/>
                <w:color w:val="FFFFFF"/>
              </w:rPr>
              <w:t>Score</w:t>
            </w:r>
          </w:p>
        </w:tc>
        <w:tc>
          <w:tcPr>
            <w:tcW w:w="75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F5E" w14:textId="77777777" w:rsidR="003E4228" w:rsidRDefault="00F03499" w:rsidP="00A7561A">
            <w:pPr>
              <w:spacing w:line="276" w:lineRule="auto"/>
              <w:jc w:val="both"/>
            </w:pPr>
            <w:r>
              <w:rPr>
                <w:b/>
                <w:bCs/>
                <w:color w:val="FFFFFF"/>
              </w:rPr>
              <w:t>Descriptor</w:t>
            </w:r>
          </w:p>
        </w:tc>
      </w:tr>
      <w:tr w:rsidR="003E4228" w14:paraId="22A28F62"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60" w14:textId="77777777" w:rsidR="003E4228" w:rsidRDefault="00F03499" w:rsidP="00A7561A">
            <w:pPr>
              <w:spacing w:line="276" w:lineRule="auto"/>
              <w:jc w:val="both"/>
            </w:pPr>
            <w:r>
              <w:rPr>
                <w:b/>
                <w:bCs/>
              </w:rPr>
              <w:t>10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61" w14:textId="77777777" w:rsidR="003E4228" w:rsidRDefault="00F03499" w:rsidP="00A7561A">
            <w:pPr>
              <w:spacing w:line="276" w:lineRule="auto"/>
              <w:jc w:val="both"/>
            </w:pPr>
            <w:r>
              <w:t>Unconditional acknowledgement of the SEAI</w:t>
            </w:r>
            <w:r>
              <w:rPr>
                <w:rFonts w:ascii="Cambria Math" w:hAnsi="Cambria Math" w:cs="Cambria Math"/>
              </w:rPr>
              <w:t>‑</w:t>
            </w:r>
            <w:r>
              <w:t>registered specified equipment with no substitutions; credible plan to protect the design SPF; full EN 378 flammable</w:t>
            </w:r>
            <w:r>
              <w:rPr>
                <w:rFonts w:ascii="Cambria Math" w:hAnsi="Cambria Math" w:cs="Cambria Math"/>
              </w:rPr>
              <w:t>‑</w:t>
            </w:r>
            <w:r>
              <w:t>refrigerant arrangements with logbook; warranty registration in the Trust</w:t>
            </w:r>
            <w:r>
              <w:rPr>
                <w:rFonts w:ascii="Aptos" w:hAnsi="Aptos" w:cs="Aptos"/>
              </w:rPr>
              <w:t>’</w:t>
            </w:r>
            <w:r>
              <w:t>s name confirmed (NeoBox</w:t>
            </w:r>
            <w:r>
              <w:rPr>
                <w:rFonts w:ascii="Cambria Math" w:hAnsi="Cambria Math" w:cs="Cambria Math"/>
              </w:rPr>
              <w:t>‑</w:t>
            </w:r>
            <w:r>
              <w:t>enabled) and a costed PPM with fixed pricing and SLAs; full SSRH/GSORG grant support; site</w:t>
            </w:r>
            <w:r>
              <w:rPr>
                <w:rFonts w:ascii="Cambria Math" w:hAnsi="Cambria Math" w:cs="Cambria Math"/>
              </w:rPr>
              <w:t>‑</w:t>
            </w:r>
            <w:r>
              <w:t xml:space="preserve">specific waste plan with </w:t>
            </w:r>
            <w:r>
              <w:rPr>
                <w:rFonts w:ascii="Aptos" w:hAnsi="Aptos" w:cs="Aptos"/>
              </w:rPr>
              <w:t>≥</w:t>
            </w:r>
            <w:r>
              <w:t>70% diversion; complete Whole</w:t>
            </w:r>
            <w:r>
              <w:rPr>
                <w:rFonts w:ascii="Cambria Math" w:hAnsi="Cambria Math" w:cs="Cambria Math"/>
              </w:rPr>
              <w:t>‑</w:t>
            </w:r>
            <w:r>
              <w:t>Life Cost Input Schedule.</w:t>
            </w:r>
          </w:p>
        </w:tc>
      </w:tr>
      <w:tr w:rsidR="003E4228" w14:paraId="22A28F65"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63" w14:textId="77777777" w:rsidR="003E4228" w:rsidRDefault="00F03499" w:rsidP="00A7561A">
            <w:pPr>
              <w:spacing w:line="276" w:lineRule="auto"/>
              <w:jc w:val="both"/>
            </w:pPr>
            <w:r>
              <w:rPr>
                <w:b/>
                <w:bCs/>
              </w:rPr>
              <w:t>7–9</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64" w14:textId="77777777" w:rsidR="003E4228" w:rsidRDefault="00F03499" w:rsidP="00A7561A">
            <w:pPr>
              <w:spacing w:line="276" w:lineRule="auto"/>
              <w:jc w:val="both"/>
            </w:pPr>
            <w:r>
              <w:t>Specified equipment acknowledged; sound SPF</w:t>
            </w:r>
            <w:r>
              <w:rPr>
                <w:rFonts w:ascii="Cambria Math" w:hAnsi="Cambria Math" w:cs="Cambria Math"/>
              </w:rPr>
              <w:t>‑</w:t>
            </w:r>
            <w:r>
              <w:t>protection approach; refrigerant arrangements in place; warranty registration and a credible PPM with SLAs; SSRH support confirmed; waste plan with diversion target; Whole</w:t>
            </w:r>
            <w:r>
              <w:rPr>
                <w:rFonts w:ascii="Cambria Math" w:hAnsi="Cambria Math" w:cs="Cambria Math"/>
              </w:rPr>
              <w:t>‑</w:t>
            </w:r>
            <w:r>
              <w:t>Life Cost Schedule largely complete with minor gaps.</w:t>
            </w:r>
          </w:p>
        </w:tc>
      </w:tr>
      <w:tr w:rsidR="003E4228" w14:paraId="22A28F68"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66" w14:textId="77777777" w:rsidR="003E4228" w:rsidRDefault="00F03499" w:rsidP="00A7561A">
            <w:pPr>
              <w:spacing w:line="276" w:lineRule="auto"/>
              <w:jc w:val="both"/>
            </w:pPr>
            <w:r>
              <w:rPr>
                <w:b/>
                <w:bCs/>
              </w:rPr>
              <w:t>4–6</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67" w14:textId="77777777" w:rsidR="003E4228" w:rsidRDefault="00F03499" w:rsidP="00A7561A">
            <w:pPr>
              <w:spacing w:line="276" w:lineRule="auto"/>
              <w:jc w:val="both"/>
            </w:pPr>
            <w:r>
              <w:t>Equipment acknowledged with vague substitution caveats; generic commissioning statements without specific SPF measures; partial refrigerant arrangements; warranty/PPM present but lacking pricing or SLA detail; SSRH support stated but not detailed; generic waste plan; Schedule partially complete.</w:t>
            </w:r>
          </w:p>
        </w:tc>
      </w:tr>
      <w:tr w:rsidR="003E4228" w14:paraId="22A28F6B"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69" w14:textId="77777777" w:rsidR="003E4228" w:rsidRDefault="00F03499" w:rsidP="00A7561A">
            <w:pPr>
              <w:spacing w:line="276" w:lineRule="auto"/>
              <w:jc w:val="both"/>
            </w:pPr>
            <w:r>
              <w:rPr>
                <w:b/>
                <w:bCs/>
              </w:rPr>
              <w:t>1–3</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6A" w14:textId="77777777" w:rsidR="003E4228" w:rsidRDefault="00F03499" w:rsidP="00A7561A">
            <w:pPr>
              <w:spacing w:line="276" w:lineRule="auto"/>
              <w:jc w:val="both"/>
            </w:pPr>
            <w:r>
              <w:t>Substitutions without SEAI evidence; no meaningful SPF</w:t>
            </w:r>
            <w:r>
              <w:rPr>
                <w:rFonts w:ascii="Cambria Math" w:hAnsi="Cambria Math" w:cs="Cambria Math"/>
              </w:rPr>
              <w:t>‑</w:t>
            </w:r>
            <w:r>
              <w:t>protection plan; weak refrigerant arrangements; warranty not addressed and PPM absent/token; SSRH support not addressed; no waste plan; Schedule absent or substantially incomplete.</w:t>
            </w:r>
          </w:p>
        </w:tc>
      </w:tr>
      <w:tr w:rsidR="003E4228" w14:paraId="22A28F6E"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6C" w14:textId="77777777" w:rsidR="003E4228" w:rsidRDefault="00F03499" w:rsidP="00A7561A">
            <w:pPr>
              <w:spacing w:line="276" w:lineRule="auto"/>
              <w:jc w:val="both"/>
            </w:pPr>
            <w:r>
              <w:rPr>
                <w:b/>
                <w:bCs/>
              </w:rPr>
              <w:t>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6D" w14:textId="77777777" w:rsidR="003E4228" w:rsidRDefault="00F03499" w:rsidP="00A7561A">
            <w:pPr>
              <w:spacing w:line="276" w:lineRule="auto"/>
              <w:jc w:val="both"/>
            </w:pPr>
            <w:r>
              <w:t>No response, or fails to address the contractor</w:t>
            </w:r>
            <w:r>
              <w:rPr>
                <w:rFonts w:ascii="Cambria Math" w:hAnsi="Cambria Math" w:cs="Cambria Math"/>
              </w:rPr>
              <w:t>‑</w:t>
            </w:r>
            <w:r>
              <w:t>controlled environmental, warranty and whole</w:t>
            </w:r>
            <w:r>
              <w:rPr>
                <w:rFonts w:ascii="Cambria Math" w:hAnsi="Cambria Math" w:cs="Cambria Math"/>
              </w:rPr>
              <w:t>‑</w:t>
            </w:r>
            <w:r>
              <w:t>life</w:t>
            </w:r>
            <w:r>
              <w:rPr>
                <w:rFonts w:ascii="Cambria Math" w:hAnsi="Cambria Math" w:cs="Cambria Math"/>
              </w:rPr>
              <w:t>‑</w:t>
            </w:r>
            <w:r>
              <w:t>cost obligations at all.</w:t>
            </w:r>
          </w:p>
        </w:tc>
      </w:tr>
    </w:tbl>
    <w:p w14:paraId="22A28F6F" w14:textId="68360EF0" w:rsidR="003E4228" w:rsidRDefault="00F03499" w:rsidP="00A7561A">
      <w:pPr>
        <w:spacing w:line="276" w:lineRule="auto"/>
        <w:jc w:val="both"/>
      </w:pPr>
      <w:r>
        <w:rPr>
          <w:i/>
          <w:iCs/>
        </w:rPr>
        <w:t>Maximum page allowance: 4 pages A4. The Whole</w:t>
      </w:r>
      <w:r>
        <w:rPr>
          <w:rFonts w:ascii="Cambria Math" w:hAnsi="Cambria Math" w:cs="Cambria Math"/>
          <w:i/>
          <w:iCs/>
        </w:rPr>
        <w:t>‑</w:t>
      </w:r>
      <w:r>
        <w:rPr>
          <w:i/>
          <w:iCs/>
        </w:rPr>
        <w:t>Life Cost Input Schedule, draft PPM agreement, draft Waste Management Plan and SEAI registered</w:t>
      </w:r>
      <w:r>
        <w:rPr>
          <w:rFonts w:ascii="Cambria Math" w:hAnsi="Cambria Math" w:cs="Cambria Math"/>
          <w:i/>
          <w:iCs/>
        </w:rPr>
        <w:t>‑</w:t>
      </w:r>
      <w:r>
        <w:rPr>
          <w:i/>
          <w:iCs/>
        </w:rPr>
        <w:t xml:space="preserve">installer evidence may be appended. </w:t>
      </w:r>
    </w:p>
    <w:p w14:paraId="22A28F70" w14:textId="77777777" w:rsidR="003E4228" w:rsidRDefault="00F03499" w:rsidP="00A7561A">
      <w:pPr>
        <w:spacing w:line="276" w:lineRule="auto"/>
        <w:jc w:val="both"/>
      </w:pPr>
      <w:r>
        <w:br w:type="page"/>
      </w:r>
    </w:p>
    <w:p w14:paraId="22A28F71" w14:textId="1D4FCBC3" w:rsidR="003E4228" w:rsidRDefault="00F03499" w:rsidP="00A7561A">
      <w:pPr>
        <w:pStyle w:val="Heading2"/>
        <w:spacing w:before="0" w:line="276" w:lineRule="auto"/>
        <w:jc w:val="both"/>
      </w:pPr>
      <w:r>
        <w:lastRenderedPageBreak/>
        <w:t>9. Criterion 6</w:t>
      </w:r>
      <w:r w:rsidR="00AF7398">
        <w:t>:</w:t>
      </w:r>
      <w:r>
        <w:t xml:space="preserve"> Health, Safety &amp; Quality Assurance (15%)</w:t>
      </w:r>
    </w:p>
    <w:p w14:paraId="65D3889A" w14:textId="77777777" w:rsidR="000A5492" w:rsidRPr="000A5492" w:rsidRDefault="000A5492" w:rsidP="00A7561A">
      <w:pPr>
        <w:jc w:val="both"/>
      </w:pPr>
    </w:p>
    <w:p w14:paraId="22A28F72" w14:textId="77777777" w:rsidR="003E4228" w:rsidRDefault="00F03499" w:rsidP="00A7561A">
      <w:pPr>
        <w:spacing w:after="100" w:line="276" w:lineRule="auto"/>
        <w:jc w:val="both"/>
      </w:pPr>
      <w:r>
        <w:t>Works within a heritage building, using a flammable refrigerant, require exceptional care, workmanship and safety management. The potential for irreversible damage to protected fabric and the hazards of R290 mean quality control and H&amp;S planning are paramount. This criterion carries the same weighting and minimum</w:t>
      </w:r>
      <w:r>
        <w:rPr>
          <w:rFonts w:ascii="Cambria Math" w:hAnsi="Cambria Math" w:cs="Cambria Math"/>
        </w:rPr>
        <w:t>‑</w:t>
      </w:r>
      <w:r>
        <w:t>threshold requirement as Criterion 3.</w:t>
      </w:r>
    </w:p>
    <w:p w14:paraId="63E965EC" w14:textId="77777777" w:rsidR="000A5492" w:rsidRDefault="000A5492" w:rsidP="00A7561A">
      <w:pPr>
        <w:spacing w:after="100" w:line="276" w:lineRule="auto"/>
        <w:jc w:val="both"/>
      </w:pPr>
    </w:p>
    <w:p w14:paraId="22A28F73" w14:textId="77777777" w:rsidR="003E4228" w:rsidRDefault="00F03499" w:rsidP="00A7561A">
      <w:pPr>
        <w:pStyle w:val="Heading3"/>
        <w:spacing w:before="0" w:line="276" w:lineRule="auto"/>
        <w:jc w:val="both"/>
      </w:pPr>
      <w:r>
        <w:t>9.1 What Tenderers Must Address</w:t>
      </w:r>
    </w:p>
    <w:p w14:paraId="22A28F74" w14:textId="77777777" w:rsidR="003E4228" w:rsidRDefault="00F03499" w:rsidP="00A7561A">
      <w:pPr>
        <w:pStyle w:val="ListParagraph"/>
        <w:numPr>
          <w:ilvl w:val="0"/>
          <w:numId w:val="2"/>
        </w:numPr>
        <w:spacing w:after="60" w:line="276" w:lineRule="auto"/>
        <w:jc w:val="both"/>
      </w:pPr>
      <w:r>
        <w:t>A project</w:t>
      </w:r>
      <w:r>
        <w:rPr>
          <w:rFonts w:ascii="Cambria Math" w:hAnsi="Cambria Math" w:cs="Cambria Math"/>
        </w:rPr>
        <w:t>‑</w:t>
      </w:r>
      <w:r>
        <w:t>specific Health &amp; Safety Plan prepared in accordance with S.I. 291 of 2013 (Safety, Health and Welfare at Work (Construction) Regulations 2013), addressing the specific hazards of M&amp;E installation in a heritage building: confined working areas; working at height; electrical isolation; flammable</w:t>
      </w:r>
      <w:r>
        <w:rPr>
          <w:rFonts w:ascii="Cambria Math" w:hAnsi="Cambria Math" w:cs="Cambria Math"/>
        </w:rPr>
        <w:t>‑</w:t>
      </w:r>
      <w:r>
        <w:t>refrigerant (R290) handling and ignition</w:t>
      </w:r>
      <w:r>
        <w:rPr>
          <w:rFonts w:ascii="Cambria Math" w:hAnsi="Cambria Math" w:cs="Cambria Math"/>
        </w:rPr>
        <w:t>‑</w:t>
      </w:r>
      <w:r>
        <w:t>source control; noise and dust; and protection of the public and Trust staff.</w:t>
      </w:r>
    </w:p>
    <w:p w14:paraId="22A28F75" w14:textId="77777777" w:rsidR="003E4228" w:rsidRDefault="00F03499" w:rsidP="00A7561A">
      <w:pPr>
        <w:pStyle w:val="ListParagraph"/>
        <w:numPr>
          <w:ilvl w:val="0"/>
          <w:numId w:val="2"/>
        </w:numPr>
        <w:spacing w:after="60" w:line="276" w:lineRule="auto"/>
        <w:jc w:val="both"/>
      </w:pPr>
      <w:r>
        <w:t>Evidence of a current Safety Statement and Safe</w:t>
      </w:r>
      <w:r>
        <w:rPr>
          <w:rFonts w:ascii="Cambria Math" w:hAnsi="Cambria Math" w:cs="Cambria Math"/>
        </w:rPr>
        <w:t>‑</w:t>
      </w:r>
      <w:r>
        <w:t>T</w:t>
      </w:r>
      <w:r>
        <w:rPr>
          <w:rFonts w:ascii="Cambria Math" w:hAnsi="Cambria Math" w:cs="Cambria Math"/>
        </w:rPr>
        <w:t>‑</w:t>
      </w:r>
      <w:r>
        <w:t>Cert certification (or equivalent third</w:t>
      </w:r>
      <w:r>
        <w:rPr>
          <w:rFonts w:ascii="Cambria Math" w:hAnsi="Cambria Math" w:cs="Cambria Math"/>
        </w:rPr>
        <w:t>‑</w:t>
      </w:r>
      <w:r>
        <w:t>party H&amp;S accreditation). CIRI registration is required for all relevant trades.</w:t>
      </w:r>
    </w:p>
    <w:p w14:paraId="22A28F76" w14:textId="77777777" w:rsidR="003E4228" w:rsidRPr="00E360C0" w:rsidRDefault="00F03499" w:rsidP="00A7561A">
      <w:pPr>
        <w:pStyle w:val="ListParagraph"/>
        <w:numPr>
          <w:ilvl w:val="0"/>
          <w:numId w:val="2"/>
        </w:numPr>
        <w:spacing w:after="60" w:line="276" w:lineRule="auto"/>
        <w:jc w:val="both"/>
      </w:pPr>
      <w:r>
        <w:t xml:space="preserve">Details of the appointed PSCS (Project Supervisor for the Construction Stage), or </w:t>
      </w:r>
      <w:r w:rsidRPr="00E360C0">
        <w:t>confirmation of proposed PSCS engagement, noting SE Systems is appointed PSDP.</w:t>
      </w:r>
    </w:p>
    <w:p w14:paraId="22A28F77" w14:textId="303A9054" w:rsidR="003E4228" w:rsidRPr="00E360C0" w:rsidRDefault="00F03499" w:rsidP="00A7561A">
      <w:pPr>
        <w:pStyle w:val="ListParagraph"/>
        <w:numPr>
          <w:ilvl w:val="0"/>
          <w:numId w:val="2"/>
        </w:numPr>
        <w:spacing w:after="60" w:line="276" w:lineRule="auto"/>
        <w:jc w:val="both"/>
      </w:pPr>
      <w:r w:rsidRPr="00E360C0">
        <w:t>Quality Assurance: evidence of ISO 9001:2015 (or equivalent) and a description of QA/QC procedures for M&amp;E installation</w:t>
      </w:r>
      <w:r w:rsidR="00E360C0" w:rsidRPr="00E360C0">
        <w:t>,</w:t>
      </w:r>
      <w:r w:rsidRPr="00E360C0">
        <w:t xml:space="preserve"> ITPs; defect management; commissioning and witnessed testing; as</w:t>
      </w:r>
      <w:r w:rsidRPr="00E360C0">
        <w:rPr>
          <w:rFonts w:ascii="Cambria Math" w:hAnsi="Cambria Math" w:cs="Cambria Math"/>
        </w:rPr>
        <w:t>‑</w:t>
      </w:r>
      <w:r w:rsidRPr="00E360C0">
        <w:t>built and O&amp;M manual production.</w:t>
      </w:r>
    </w:p>
    <w:p w14:paraId="22A28F78" w14:textId="322B960A" w:rsidR="003E4228" w:rsidRPr="006C116C" w:rsidRDefault="00F03499" w:rsidP="00A7561A">
      <w:pPr>
        <w:pStyle w:val="ListParagraph"/>
        <w:numPr>
          <w:ilvl w:val="0"/>
          <w:numId w:val="2"/>
        </w:numPr>
        <w:spacing w:after="60" w:line="276" w:lineRule="auto"/>
        <w:jc w:val="both"/>
      </w:pPr>
      <w:r w:rsidRPr="006C116C">
        <w:t>The proposed commissioning programme</w:t>
      </w:r>
      <w:r w:rsidR="006C116C" w:rsidRPr="006C116C">
        <w:t xml:space="preserve">, </w:t>
      </w:r>
      <w:r w:rsidRPr="006C116C">
        <w:t>including refrigerant leak</w:t>
      </w:r>
      <w:r w:rsidRPr="006C116C">
        <w:rPr>
          <w:rFonts w:ascii="Cambria Math" w:hAnsi="Cambria Math" w:cs="Cambria Math"/>
        </w:rPr>
        <w:t>‑</w:t>
      </w:r>
      <w:r w:rsidRPr="006C116C">
        <w:t>tightness and pressure testing, hydraulic balancing, controls calibration, and final witnessed performance testing with the Employer</w:t>
      </w:r>
      <w:r w:rsidRPr="006C116C">
        <w:rPr>
          <w:rFonts w:ascii="Aptos" w:hAnsi="Aptos" w:cs="Aptos"/>
        </w:rPr>
        <w:t>’</w:t>
      </w:r>
      <w:r w:rsidRPr="006C116C">
        <w:t>s Representative.</w:t>
      </w:r>
    </w:p>
    <w:p w14:paraId="22A28F79" w14:textId="77777777" w:rsidR="003E4228" w:rsidRPr="006C116C" w:rsidRDefault="00F03499" w:rsidP="00A7561A">
      <w:pPr>
        <w:pStyle w:val="ListParagraph"/>
        <w:numPr>
          <w:ilvl w:val="0"/>
          <w:numId w:val="2"/>
        </w:numPr>
        <w:spacing w:after="60" w:line="276" w:lineRule="auto"/>
        <w:jc w:val="both"/>
      </w:pPr>
      <w:r w:rsidRPr="006C116C">
        <w:t>Evidence of operative training and certification: SEAI Heat Pump Installation certification (or equivalent); EPA F</w:t>
      </w:r>
      <w:r w:rsidRPr="006C116C">
        <w:rPr>
          <w:rFonts w:ascii="Cambria Math" w:hAnsi="Cambria Math" w:cs="Cambria Math"/>
        </w:rPr>
        <w:t>‑</w:t>
      </w:r>
      <w:r w:rsidRPr="006C116C">
        <w:t>Gas certification under Regulation (EU) 2024/573 and compliance with I.S. EN 378 Parts 1</w:t>
      </w:r>
      <w:r w:rsidRPr="006C116C">
        <w:rPr>
          <w:rFonts w:ascii="Aptos" w:hAnsi="Aptos" w:cs="Aptos"/>
        </w:rPr>
        <w:t>–</w:t>
      </w:r>
      <w:r w:rsidRPr="006C116C">
        <w:t>4 for the flammable refrigerant; RECI / Safe Electric registration; and Safe Pass and CSCS cards for all operatives.</w:t>
      </w:r>
    </w:p>
    <w:p w14:paraId="22A28F7A" w14:textId="23623DCE" w:rsidR="003E4228" w:rsidRDefault="00F03499" w:rsidP="00A7561A">
      <w:pPr>
        <w:pStyle w:val="ListParagraph"/>
        <w:numPr>
          <w:ilvl w:val="0"/>
          <w:numId w:val="2"/>
        </w:numPr>
        <w:spacing w:after="60" w:line="276" w:lineRule="auto"/>
        <w:jc w:val="both"/>
      </w:pPr>
      <w:r w:rsidRPr="006C116C">
        <w:t xml:space="preserve">Approach to protecting heritage fabric during works </w:t>
      </w:r>
      <w:r w:rsidR="006C116C" w:rsidRPr="006C116C">
        <w:t>to include;</w:t>
      </w:r>
      <w:r w:rsidRPr="006C116C">
        <w:t xml:space="preserve"> temporary works</w:t>
      </w:r>
      <w:r>
        <w:t>, protection boarding, dust suppression, and procedures in the event of accidental damage.</w:t>
      </w:r>
    </w:p>
    <w:p w14:paraId="41DE52D9" w14:textId="77777777" w:rsidR="000A5492" w:rsidRDefault="000A5492" w:rsidP="00A7561A">
      <w:pPr>
        <w:jc w:val="both"/>
        <w:rPr>
          <w:rFonts w:asciiTheme="majorHAnsi" w:eastAsiaTheme="majorEastAsia" w:hAnsiTheme="majorHAnsi" w:cstheme="majorBidi"/>
          <w:color w:val="1B7758" w:themeColor="accent1" w:themeShade="BF"/>
          <w:sz w:val="28"/>
          <w:szCs w:val="28"/>
        </w:rPr>
      </w:pPr>
      <w:r>
        <w:br w:type="page"/>
      </w:r>
    </w:p>
    <w:p w14:paraId="22A28F7B" w14:textId="0BF7F0D2" w:rsidR="003E4228" w:rsidRDefault="00F03499" w:rsidP="00A7561A">
      <w:pPr>
        <w:pStyle w:val="Heading3"/>
        <w:spacing w:before="0" w:line="276" w:lineRule="auto"/>
        <w:jc w:val="both"/>
      </w:pPr>
      <w:r>
        <w:lastRenderedPageBreak/>
        <w:t>9.2 Scoring Guidance</w:t>
      </w:r>
      <w:r w:rsidR="00AF7398">
        <w:t xml:space="preserve">: </w:t>
      </w:r>
      <w:r>
        <w:t>Criterion 6</w:t>
      </w:r>
    </w:p>
    <w:p w14:paraId="3FAB14C7" w14:textId="77777777" w:rsidR="000A5492" w:rsidRPr="000A5492" w:rsidRDefault="000A5492" w:rsidP="00A7561A">
      <w:pPr>
        <w:jc w:val="both"/>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7526"/>
      </w:tblGrid>
      <w:tr w:rsidR="003E4228" w14:paraId="22A28F7E" w14:textId="77777777" w:rsidTr="000A5492">
        <w:trPr>
          <w:tblHeader/>
        </w:trPr>
        <w:tc>
          <w:tcPr>
            <w:tcW w:w="1500"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F7C" w14:textId="77777777" w:rsidR="003E4228" w:rsidRDefault="00F03499" w:rsidP="00A7561A">
            <w:pPr>
              <w:spacing w:line="276" w:lineRule="auto"/>
              <w:jc w:val="both"/>
            </w:pPr>
            <w:r>
              <w:rPr>
                <w:b/>
                <w:bCs/>
                <w:color w:val="FFFFFF"/>
              </w:rPr>
              <w:t>Score</w:t>
            </w:r>
          </w:p>
        </w:tc>
        <w:tc>
          <w:tcPr>
            <w:tcW w:w="7526" w:type="dxa"/>
            <w:tcBorders>
              <w:top w:val="single" w:sz="1" w:space="0" w:color="BFBFBF"/>
              <w:left w:val="single" w:sz="1" w:space="0" w:color="BFBFBF"/>
              <w:bottom w:val="single" w:sz="1" w:space="0" w:color="BFBFBF"/>
              <w:right w:val="single" w:sz="1" w:space="0" w:color="BFBFBF"/>
            </w:tcBorders>
            <w:shd w:val="clear" w:color="auto" w:fill="24A076" w:themeFill="accent1"/>
            <w:tcMar>
              <w:top w:w="70" w:type="dxa"/>
              <w:left w:w="110" w:type="dxa"/>
              <w:bottom w:w="70" w:type="dxa"/>
              <w:right w:w="110" w:type="dxa"/>
            </w:tcMar>
            <w:vAlign w:val="center"/>
          </w:tcPr>
          <w:p w14:paraId="22A28F7D" w14:textId="77777777" w:rsidR="003E4228" w:rsidRDefault="00F03499" w:rsidP="00A7561A">
            <w:pPr>
              <w:spacing w:line="276" w:lineRule="auto"/>
              <w:jc w:val="both"/>
            </w:pPr>
            <w:r>
              <w:rPr>
                <w:b/>
                <w:bCs/>
                <w:color w:val="FFFFFF"/>
              </w:rPr>
              <w:t>Descriptor</w:t>
            </w:r>
          </w:p>
        </w:tc>
      </w:tr>
      <w:tr w:rsidR="003E4228" w14:paraId="22A28F81"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7F" w14:textId="77777777" w:rsidR="003E4228" w:rsidRDefault="00F03499" w:rsidP="00A7561A">
            <w:pPr>
              <w:spacing w:line="276" w:lineRule="auto"/>
              <w:jc w:val="both"/>
            </w:pPr>
            <w:r>
              <w:rPr>
                <w:b/>
                <w:bCs/>
              </w:rPr>
              <w:t>10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80" w14:textId="77777777" w:rsidR="003E4228" w:rsidRDefault="00F03499" w:rsidP="00A7561A">
            <w:pPr>
              <w:spacing w:line="276" w:lineRule="auto"/>
              <w:jc w:val="both"/>
            </w:pPr>
            <w:r>
              <w:t>Comprehensive project</w:t>
            </w:r>
            <w:r>
              <w:rPr>
                <w:rFonts w:ascii="Cambria Math" w:hAnsi="Cambria Math" w:cs="Cambria Math"/>
              </w:rPr>
              <w:t>‑</w:t>
            </w:r>
            <w:r>
              <w:t>specific H&amp;S plan referencing confined/restricted heritage</w:t>
            </w:r>
            <w:r>
              <w:rPr>
                <w:rFonts w:ascii="Cambria Math" w:hAnsi="Cambria Math" w:cs="Cambria Math"/>
              </w:rPr>
              <w:t>‑</w:t>
            </w:r>
            <w:r>
              <w:t>site working and R290 hazards; ISO 9001 or equivalent evidenced; clear inspection and commissioning schedule; Safe</w:t>
            </w:r>
            <w:r>
              <w:rPr>
                <w:rFonts w:ascii="Cambria Math" w:hAnsi="Cambria Math" w:cs="Cambria Math"/>
              </w:rPr>
              <w:t>‑</w:t>
            </w:r>
            <w:r>
              <w:t>T</w:t>
            </w:r>
            <w:r>
              <w:rPr>
                <w:rFonts w:ascii="Cambria Math" w:hAnsi="Cambria Math" w:cs="Cambria Math"/>
              </w:rPr>
              <w:t>‑</w:t>
            </w:r>
            <w:r>
              <w:t>Cert or equivalent held; demonstrates past QA performance.</w:t>
            </w:r>
          </w:p>
        </w:tc>
      </w:tr>
      <w:tr w:rsidR="003E4228" w14:paraId="22A28F84"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82" w14:textId="77777777" w:rsidR="003E4228" w:rsidRDefault="00F03499" w:rsidP="00A7561A">
            <w:pPr>
              <w:spacing w:line="276" w:lineRule="auto"/>
              <w:jc w:val="both"/>
            </w:pPr>
            <w:r>
              <w:rPr>
                <w:b/>
                <w:bCs/>
              </w:rPr>
              <w:t>7–9</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83" w14:textId="77777777" w:rsidR="003E4228" w:rsidRDefault="00F03499" w:rsidP="00A7561A">
            <w:pPr>
              <w:spacing w:line="276" w:lineRule="auto"/>
              <w:jc w:val="both"/>
            </w:pPr>
            <w:r>
              <w:t>Good H&amp;S and QA plan; most elements present; minor gaps in project</w:t>
            </w:r>
            <w:r>
              <w:rPr>
                <w:rFonts w:ascii="Cambria Math" w:hAnsi="Cambria Math" w:cs="Cambria Math"/>
              </w:rPr>
              <w:t>‑</w:t>
            </w:r>
            <w:r>
              <w:t>specific tailoring.</w:t>
            </w:r>
          </w:p>
        </w:tc>
      </w:tr>
      <w:tr w:rsidR="003E4228" w14:paraId="22A28F87"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85" w14:textId="77777777" w:rsidR="003E4228" w:rsidRDefault="00F03499" w:rsidP="00A7561A">
            <w:pPr>
              <w:spacing w:line="276" w:lineRule="auto"/>
              <w:jc w:val="both"/>
            </w:pPr>
            <w:r>
              <w:rPr>
                <w:b/>
                <w:bCs/>
              </w:rPr>
              <w:t>4–6</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86" w14:textId="77777777" w:rsidR="003E4228" w:rsidRDefault="00F03499" w:rsidP="00A7561A">
            <w:pPr>
              <w:spacing w:line="276" w:lineRule="auto"/>
              <w:jc w:val="both"/>
            </w:pPr>
            <w:r>
              <w:t>Generic H&amp;S/QA approach; plan present but not tailored to heritage</w:t>
            </w:r>
            <w:r>
              <w:rPr>
                <w:rFonts w:ascii="Cambria Math" w:hAnsi="Cambria Math" w:cs="Cambria Math"/>
              </w:rPr>
              <w:t>‑</w:t>
            </w:r>
            <w:r>
              <w:t>site or flammable</w:t>
            </w:r>
            <w:r>
              <w:rPr>
                <w:rFonts w:ascii="Cambria Math" w:hAnsi="Cambria Math" w:cs="Cambria Math"/>
              </w:rPr>
              <w:t>‑</w:t>
            </w:r>
            <w:r>
              <w:t>refrigerant complexities.</w:t>
            </w:r>
          </w:p>
        </w:tc>
      </w:tr>
      <w:tr w:rsidR="003E4228" w14:paraId="22A28F8A"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88" w14:textId="77777777" w:rsidR="003E4228" w:rsidRDefault="00F03499" w:rsidP="00A7561A">
            <w:pPr>
              <w:spacing w:line="276" w:lineRule="auto"/>
              <w:jc w:val="both"/>
            </w:pPr>
            <w:r>
              <w:rPr>
                <w:b/>
                <w:bCs/>
              </w:rPr>
              <w:t>1–3</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89" w14:textId="77777777" w:rsidR="003E4228" w:rsidRDefault="00F03499" w:rsidP="00A7561A">
            <w:pPr>
              <w:spacing w:line="276" w:lineRule="auto"/>
              <w:jc w:val="both"/>
            </w:pPr>
            <w:r>
              <w:t>Weak H&amp;S/QA submission; significant gaps; limited confidence in safety culture.</w:t>
            </w:r>
          </w:p>
        </w:tc>
      </w:tr>
      <w:tr w:rsidR="003E4228" w14:paraId="22A28F8D" w14:textId="77777777">
        <w:tc>
          <w:tcPr>
            <w:tcW w:w="1500"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8B" w14:textId="77777777" w:rsidR="003E4228" w:rsidRDefault="00F03499" w:rsidP="00A7561A">
            <w:pPr>
              <w:spacing w:line="276" w:lineRule="auto"/>
              <w:jc w:val="both"/>
            </w:pPr>
            <w:r>
              <w:rPr>
                <w:b/>
                <w:bCs/>
              </w:rPr>
              <w:t>0</w:t>
            </w:r>
          </w:p>
        </w:tc>
        <w:tc>
          <w:tcPr>
            <w:tcW w:w="7526" w:type="dxa"/>
            <w:tcBorders>
              <w:top w:val="single" w:sz="1" w:space="0" w:color="BFBFBF"/>
              <w:left w:val="single" w:sz="1" w:space="0" w:color="BFBFBF"/>
              <w:bottom w:val="single" w:sz="1" w:space="0" w:color="BFBFBF"/>
              <w:right w:val="single" w:sz="1" w:space="0" w:color="BFBFBF"/>
            </w:tcBorders>
            <w:tcMar>
              <w:top w:w="70" w:type="dxa"/>
              <w:left w:w="110" w:type="dxa"/>
              <w:bottom w:w="70" w:type="dxa"/>
              <w:right w:w="110" w:type="dxa"/>
            </w:tcMar>
            <w:vAlign w:val="center"/>
          </w:tcPr>
          <w:p w14:paraId="22A28F8C" w14:textId="77777777" w:rsidR="003E4228" w:rsidRDefault="00F03499" w:rsidP="00A7561A">
            <w:pPr>
              <w:spacing w:line="276" w:lineRule="auto"/>
              <w:jc w:val="both"/>
            </w:pPr>
            <w:r>
              <w:t>No H&amp;S plan or wholly inadequate.</w:t>
            </w:r>
          </w:p>
        </w:tc>
      </w:tr>
    </w:tbl>
    <w:p w14:paraId="22A28F8E" w14:textId="6779A873" w:rsidR="003E4228" w:rsidRDefault="00F03499" w:rsidP="00A7561A">
      <w:pPr>
        <w:spacing w:line="276" w:lineRule="auto"/>
        <w:jc w:val="both"/>
      </w:pPr>
      <w:r>
        <w:rPr>
          <w:i/>
          <w:iCs/>
        </w:rPr>
        <w:t xml:space="preserve">Minimum threshold: 4/10. Maximum page allowance: 4 pages A4; H&amp;S Plan and QA certificates may be appended. </w:t>
      </w:r>
    </w:p>
    <w:p w14:paraId="79EFFC24" w14:textId="77777777" w:rsidR="000A5492" w:rsidRDefault="000A5492" w:rsidP="00A7561A">
      <w:pPr>
        <w:pStyle w:val="Heading2"/>
        <w:spacing w:before="0" w:line="276" w:lineRule="auto"/>
        <w:jc w:val="both"/>
      </w:pPr>
    </w:p>
    <w:p w14:paraId="22A28F90" w14:textId="40D657B8" w:rsidR="003E4228" w:rsidRDefault="00F03499" w:rsidP="00A7561A">
      <w:pPr>
        <w:pStyle w:val="Heading2"/>
        <w:spacing w:before="0" w:line="276" w:lineRule="auto"/>
        <w:jc w:val="both"/>
      </w:pPr>
      <w:r>
        <w:t>10. Price Criterion (40%)</w:t>
      </w:r>
    </w:p>
    <w:p w14:paraId="0384F8CF" w14:textId="77777777" w:rsidR="000A5492" w:rsidRPr="000A5492" w:rsidRDefault="000A5492" w:rsidP="00A7561A">
      <w:pPr>
        <w:jc w:val="both"/>
      </w:pPr>
    </w:p>
    <w:p w14:paraId="22A28F91" w14:textId="77777777" w:rsidR="003E4228" w:rsidRDefault="00F03499" w:rsidP="00A7561A">
      <w:pPr>
        <w:spacing w:after="100" w:line="276" w:lineRule="auto"/>
        <w:jc w:val="both"/>
      </w:pPr>
      <w:r>
        <w:t>The price criterion shall be evaluated on the tendered lump</w:t>
      </w:r>
      <w:r>
        <w:rPr>
          <w:rFonts w:ascii="Cambria Math" w:hAnsi="Cambria Math" w:cs="Cambria Math"/>
        </w:rPr>
        <w:t>‑</w:t>
      </w:r>
      <w:r>
        <w:t>sum price submitted on the Form of Tender, inclusive of all works described in the Employer’s Requirements and Specification.</w:t>
      </w:r>
    </w:p>
    <w:p w14:paraId="5970049E" w14:textId="77777777" w:rsidR="000A5492" w:rsidRDefault="000A5492" w:rsidP="00A7561A">
      <w:pPr>
        <w:spacing w:after="100" w:line="276" w:lineRule="auto"/>
        <w:jc w:val="both"/>
      </w:pPr>
    </w:p>
    <w:p w14:paraId="22A28F92" w14:textId="2411C99B" w:rsidR="003E4228" w:rsidRDefault="00F03499" w:rsidP="00A7561A">
      <w:pPr>
        <w:spacing w:after="100" w:line="276" w:lineRule="auto"/>
        <w:jc w:val="both"/>
      </w:pPr>
      <w:r>
        <w:t>Price scoring shall be calculated as:</w:t>
      </w:r>
    </w:p>
    <w:p w14:paraId="22A28F93" w14:textId="77777777" w:rsidR="003E4228" w:rsidRDefault="00F03499" w:rsidP="00A7561A">
      <w:pPr>
        <w:spacing w:after="100" w:line="276" w:lineRule="auto"/>
        <w:jc w:val="both"/>
      </w:pPr>
      <w:r>
        <w:rPr>
          <w:b/>
          <w:bCs/>
        </w:rPr>
        <w:t>Price Score = (Lowest Compliant Tender Price ÷ Tenderer’s Price) × 40</w:t>
      </w:r>
    </w:p>
    <w:p w14:paraId="4ED87BF7" w14:textId="77777777" w:rsidR="000A5492" w:rsidRDefault="000A5492" w:rsidP="00A7561A">
      <w:pPr>
        <w:spacing w:after="100" w:line="276" w:lineRule="auto"/>
        <w:jc w:val="both"/>
      </w:pPr>
    </w:p>
    <w:p w14:paraId="22A28F94" w14:textId="396E12EA" w:rsidR="003E4228" w:rsidRDefault="00F03499" w:rsidP="00A7561A">
      <w:pPr>
        <w:spacing w:after="100" w:line="276" w:lineRule="auto"/>
        <w:jc w:val="both"/>
      </w:pPr>
      <w:r>
        <w:t>This awards the maximum price score (40) to the lowest compliant tender and proportionately lower scores to higher</w:t>
      </w:r>
      <w:r>
        <w:rPr>
          <w:rFonts w:ascii="Cambria Math" w:hAnsi="Cambria Math" w:cs="Cambria Math"/>
        </w:rPr>
        <w:t>‑</w:t>
      </w:r>
      <w:r>
        <w:t>priced tenders. Only tenders meeting the minimum technical threshold on Criteria 3 and 6 shall be admitted to price evaluation.</w:t>
      </w:r>
    </w:p>
    <w:p w14:paraId="22A28F95" w14:textId="77777777" w:rsidR="003E4228" w:rsidRDefault="003E4228" w:rsidP="00A7561A">
      <w:pPr>
        <w:spacing w:after="60" w:line="276" w:lineRule="auto"/>
        <w:jc w:val="both"/>
      </w:pPr>
    </w:p>
    <w:p w14:paraId="192C151E" w14:textId="77777777" w:rsidR="000A5492" w:rsidRDefault="000A5492" w:rsidP="00A7561A">
      <w:pPr>
        <w:jc w:val="both"/>
        <w:rPr>
          <w:rFonts w:asciiTheme="majorHAnsi" w:eastAsiaTheme="majorEastAsia" w:hAnsiTheme="majorHAnsi" w:cstheme="majorBidi"/>
          <w:color w:val="1B7758" w:themeColor="accent1" w:themeShade="BF"/>
          <w:sz w:val="32"/>
          <w:szCs w:val="32"/>
        </w:rPr>
      </w:pPr>
      <w:r>
        <w:br w:type="page"/>
      </w:r>
    </w:p>
    <w:p w14:paraId="22A28F96" w14:textId="06A8EA2B" w:rsidR="003E4228" w:rsidRDefault="00F03499" w:rsidP="00A7561A">
      <w:pPr>
        <w:pStyle w:val="Heading2"/>
        <w:spacing w:before="0" w:line="276" w:lineRule="auto"/>
        <w:jc w:val="both"/>
      </w:pPr>
      <w:r>
        <w:lastRenderedPageBreak/>
        <w:t>11. Evaluation Process &amp; Standstill Period</w:t>
      </w:r>
    </w:p>
    <w:p w14:paraId="6B47EC01" w14:textId="77777777" w:rsidR="000A5492" w:rsidRPr="000A5492" w:rsidRDefault="000A5492" w:rsidP="00A7561A">
      <w:pPr>
        <w:jc w:val="both"/>
      </w:pPr>
    </w:p>
    <w:p w14:paraId="22A28F97" w14:textId="77777777" w:rsidR="003E4228" w:rsidRDefault="00F03499" w:rsidP="00A7561A">
      <w:pPr>
        <w:spacing w:after="100" w:line="276" w:lineRule="auto"/>
        <w:jc w:val="both"/>
      </w:pPr>
      <w:r>
        <w:t>Tenders shall be evaluated by a minimum three</w:t>
      </w:r>
      <w:r>
        <w:rPr>
          <w:rFonts w:ascii="Cambria Math" w:hAnsi="Cambria Math" w:cs="Cambria Math"/>
        </w:rPr>
        <w:t>‑</w:t>
      </w:r>
      <w:r>
        <w:t>person evaluation panel including a technical evaluator with heritage building</w:t>
      </w:r>
      <w:r>
        <w:rPr>
          <w:rFonts w:ascii="Cambria Math" w:hAnsi="Cambria Math" w:cs="Cambria Math"/>
        </w:rPr>
        <w:t>‑</w:t>
      </w:r>
      <w:r>
        <w:t>services experience. Each member shall score independently before moderation. The evaluation report shall be prepared in accordance with OGP guidance and retained for audit.</w:t>
      </w:r>
    </w:p>
    <w:p w14:paraId="01F1608E" w14:textId="77777777" w:rsidR="000A5492" w:rsidRDefault="000A5492" w:rsidP="00A7561A">
      <w:pPr>
        <w:spacing w:after="100" w:line="276" w:lineRule="auto"/>
        <w:jc w:val="both"/>
      </w:pPr>
    </w:p>
    <w:p w14:paraId="22A28F98" w14:textId="77777777" w:rsidR="003E4228" w:rsidRDefault="00F03499" w:rsidP="00A7561A">
      <w:pPr>
        <w:spacing w:after="100" w:line="276" w:lineRule="auto"/>
        <w:jc w:val="both"/>
      </w:pPr>
      <w:r>
        <w:t>Following identification of the Preferred Tenderer, a standstill period of not less than 14 calendar days (or 10 days where notification is by electronic means) shall apply before contract award, in accordance with Regulation 45 of S.I. 284/2016. All tenderers shall receive written feedback on their scores within 14 days of a written request following the award decision.</w:t>
      </w:r>
    </w:p>
    <w:p w14:paraId="22A28F99" w14:textId="77777777" w:rsidR="003E4228" w:rsidRDefault="003E4228" w:rsidP="00A7561A">
      <w:pPr>
        <w:spacing w:after="60" w:line="276" w:lineRule="auto"/>
        <w:jc w:val="both"/>
      </w:pPr>
    </w:p>
    <w:p w14:paraId="22A28F9A" w14:textId="77777777" w:rsidR="003E4228" w:rsidRDefault="00F03499" w:rsidP="00A7561A">
      <w:pPr>
        <w:pStyle w:val="Heading2"/>
        <w:spacing w:before="0" w:line="276" w:lineRule="auto"/>
        <w:jc w:val="both"/>
      </w:pPr>
      <w:r>
        <w:t>12. Submission Requirements</w:t>
      </w:r>
    </w:p>
    <w:p w14:paraId="484508D3" w14:textId="77777777" w:rsidR="000A5492" w:rsidRPr="000A5492" w:rsidRDefault="000A5492" w:rsidP="00A7561A">
      <w:pPr>
        <w:jc w:val="both"/>
      </w:pPr>
    </w:p>
    <w:p w14:paraId="22A28F9B" w14:textId="13092FFA" w:rsidR="003E4228" w:rsidRDefault="00F03499" w:rsidP="00A7561A">
      <w:pPr>
        <w:spacing w:after="100" w:line="276" w:lineRule="auto"/>
        <w:jc w:val="both"/>
      </w:pPr>
      <w:r>
        <w:t>Tenders must be submitted electronically via eTenders.gov.ie by the deadline stated in the Contract Notice</w:t>
      </w:r>
      <w:r w:rsidR="006246BE">
        <w:t xml:space="preserve"> [</w:t>
      </w:r>
      <w:r w:rsidR="006246BE" w:rsidRPr="006246BE">
        <w:t>06/09/2026</w:t>
      </w:r>
      <w:r w:rsidR="006246BE">
        <w:t>]</w:t>
      </w:r>
      <w:r>
        <w:t>. Late submissions will not be accepted. Submissions must include:</w:t>
      </w:r>
    </w:p>
    <w:p w14:paraId="22A28F9C" w14:textId="77777777" w:rsidR="003E4228" w:rsidRDefault="00F03499" w:rsidP="00A7561A">
      <w:pPr>
        <w:pStyle w:val="ListParagraph"/>
        <w:numPr>
          <w:ilvl w:val="0"/>
          <w:numId w:val="2"/>
        </w:numPr>
        <w:spacing w:after="60" w:line="276" w:lineRule="auto"/>
        <w:jc w:val="both"/>
      </w:pPr>
      <w:r>
        <w:t>Completed Form of Tender (price schedule).</w:t>
      </w:r>
    </w:p>
    <w:p w14:paraId="22A28F9D" w14:textId="77777777" w:rsidR="003E4228" w:rsidRDefault="00F03499" w:rsidP="00A7561A">
      <w:pPr>
        <w:pStyle w:val="ListParagraph"/>
        <w:numPr>
          <w:ilvl w:val="0"/>
          <w:numId w:val="2"/>
        </w:numPr>
        <w:spacing w:after="60" w:line="276" w:lineRule="auto"/>
        <w:jc w:val="both"/>
      </w:pPr>
      <w:r>
        <w:t>Response to each of the six technical criteria within the stated page limits.</w:t>
      </w:r>
    </w:p>
    <w:p w14:paraId="22A28F9E" w14:textId="77777777" w:rsidR="003E4228" w:rsidRDefault="00F03499" w:rsidP="00A7561A">
      <w:pPr>
        <w:pStyle w:val="ListParagraph"/>
        <w:numPr>
          <w:ilvl w:val="0"/>
          <w:numId w:val="2"/>
        </w:numPr>
        <w:spacing w:after="60" w:line="276" w:lineRule="auto"/>
        <w:jc w:val="both"/>
      </w:pPr>
      <w:r>
        <w:t>Company certifications and accreditations (EPA F</w:t>
      </w:r>
      <w:r>
        <w:rPr>
          <w:rFonts w:ascii="Cambria Math" w:hAnsi="Cambria Math" w:cs="Cambria Math"/>
        </w:rPr>
        <w:t>‑</w:t>
      </w:r>
      <w:r>
        <w:t>Gas certification under Reg (EU) 2024/573 and I.S. EN 378 Parts 1</w:t>
      </w:r>
      <w:r>
        <w:rPr>
          <w:rFonts w:ascii="Aptos" w:hAnsi="Aptos" w:cs="Aptos"/>
        </w:rPr>
        <w:t>–</w:t>
      </w:r>
      <w:r>
        <w:t>4, Safe</w:t>
      </w:r>
      <w:r>
        <w:rPr>
          <w:rFonts w:ascii="Cambria Math" w:hAnsi="Cambria Math" w:cs="Cambria Math"/>
        </w:rPr>
        <w:t>‑</w:t>
      </w:r>
      <w:r>
        <w:t>T</w:t>
      </w:r>
      <w:r>
        <w:rPr>
          <w:rFonts w:ascii="Cambria Math" w:hAnsi="Cambria Math" w:cs="Cambria Math"/>
        </w:rPr>
        <w:t>‑</w:t>
      </w:r>
      <w:r>
        <w:t>Cert/equivalent, ISO 9001, CIRI, RECI/Safe Electric).</w:t>
      </w:r>
    </w:p>
    <w:p w14:paraId="22A28F9F" w14:textId="77777777" w:rsidR="003E4228" w:rsidRDefault="00F03499" w:rsidP="00A7561A">
      <w:pPr>
        <w:pStyle w:val="ListParagraph"/>
        <w:numPr>
          <w:ilvl w:val="0"/>
          <w:numId w:val="2"/>
        </w:numPr>
        <w:spacing w:after="60" w:line="276" w:lineRule="auto"/>
        <w:jc w:val="both"/>
      </w:pPr>
      <w:r>
        <w:t>Project references (minimum two for heritage works; minimum two for heat pump installations).</w:t>
      </w:r>
    </w:p>
    <w:p w14:paraId="22A28FA0" w14:textId="77777777" w:rsidR="003E4228" w:rsidRDefault="00F03499" w:rsidP="00A7561A">
      <w:pPr>
        <w:pStyle w:val="ListParagraph"/>
        <w:numPr>
          <w:ilvl w:val="0"/>
          <w:numId w:val="2"/>
        </w:numPr>
        <w:spacing w:after="60" w:line="276" w:lineRule="auto"/>
        <w:jc w:val="both"/>
      </w:pPr>
      <w:r>
        <w:t>CVs of key personnel.</w:t>
      </w:r>
    </w:p>
    <w:p w14:paraId="22A28FA1" w14:textId="77777777" w:rsidR="003E4228" w:rsidRDefault="00F03499" w:rsidP="00A7561A">
      <w:pPr>
        <w:pStyle w:val="ListParagraph"/>
        <w:numPr>
          <w:ilvl w:val="0"/>
          <w:numId w:val="2"/>
        </w:numPr>
        <w:spacing w:after="60" w:line="276" w:lineRule="auto"/>
        <w:jc w:val="both"/>
      </w:pPr>
      <w:r>
        <w:t>Preliminary H&amp;S Plan and Quality Assurance Plan.</w:t>
      </w:r>
    </w:p>
    <w:p w14:paraId="22A28FA2" w14:textId="77777777" w:rsidR="003E4228" w:rsidRDefault="00F03499" w:rsidP="00A7561A">
      <w:pPr>
        <w:pStyle w:val="ListParagraph"/>
        <w:numPr>
          <w:ilvl w:val="0"/>
          <w:numId w:val="2"/>
        </w:numPr>
        <w:spacing w:after="60" w:line="276" w:lineRule="auto"/>
        <w:jc w:val="both"/>
      </w:pPr>
      <w:r>
        <w:t>Whole</w:t>
      </w:r>
      <w:r>
        <w:rPr>
          <w:rFonts w:ascii="Cambria Math" w:hAnsi="Cambria Math" w:cs="Cambria Math"/>
        </w:rPr>
        <w:t>‑</w:t>
      </w:r>
      <w:r>
        <w:t>Life Cost Input Schedule, draft PPM agreement, draft Construction &amp; Demolition Waste Management Plan, and SEAI registered</w:t>
      </w:r>
      <w:r>
        <w:rPr>
          <w:rFonts w:ascii="Cambria Math" w:hAnsi="Cambria Math" w:cs="Cambria Math"/>
        </w:rPr>
        <w:t>‑</w:t>
      </w:r>
      <w:r>
        <w:t>installer evidence (Criterion 5 appendices).</w:t>
      </w:r>
    </w:p>
    <w:p w14:paraId="22A28FA3" w14:textId="77777777" w:rsidR="003E4228" w:rsidRDefault="00F03499" w:rsidP="00A7561A">
      <w:pPr>
        <w:pStyle w:val="ListParagraph"/>
        <w:numPr>
          <w:ilvl w:val="0"/>
          <w:numId w:val="2"/>
        </w:numPr>
        <w:spacing w:after="60" w:line="276" w:lineRule="auto"/>
        <w:jc w:val="both"/>
      </w:pPr>
      <w:r>
        <w:t>Preliminary Project Programme (Criterion 4 appendix).</w:t>
      </w:r>
    </w:p>
    <w:p w14:paraId="79006EBE" w14:textId="77777777" w:rsidR="000A5492" w:rsidRDefault="000A5492" w:rsidP="00A7561A">
      <w:pPr>
        <w:pStyle w:val="ListParagraph"/>
        <w:spacing w:after="60" w:line="276" w:lineRule="auto"/>
        <w:ind w:left="460"/>
        <w:jc w:val="both"/>
      </w:pPr>
    </w:p>
    <w:p w14:paraId="22A28FA4" w14:textId="71057338" w:rsidR="003E4228" w:rsidRDefault="00F03499" w:rsidP="00A7561A">
      <w:pPr>
        <w:spacing w:line="276" w:lineRule="auto"/>
        <w:jc w:val="both"/>
      </w:pPr>
      <w:r>
        <w:t xml:space="preserve">Queries should be submitted via the Q&amp;A facility on eTenders.gov.ie no later than </w:t>
      </w:r>
      <w:r w:rsidRPr="006246BE">
        <w:t>[</w:t>
      </w:r>
      <w:r w:rsidR="006246BE" w:rsidRPr="006246BE">
        <w:t>2</w:t>
      </w:r>
      <w:r w:rsidR="0072009C">
        <w:t>6</w:t>
      </w:r>
      <w:r w:rsidR="006246BE" w:rsidRPr="006246BE">
        <w:t>/08/2026</w:t>
      </w:r>
      <w:r w:rsidRPr="006246BE">
        <w:t xml:space="preserve">]. </w:t>
      </w:r>
      <w:r>
        <w:t>All queries and responses will be issued to all registered tenderers to maintain equal treatment.</w:t>
      </w:r>
    </w:p>
    <w:sectPr w:rsidR="003E4228">
      <w:headerReference w:type="default" r:id="rId11"/>
      <w:footerReference w:type="default" r:id="rId12"/>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A04E47" w14:textId="77777777" w:rsidR="00923D2C" w:rsidRDefault="00923D2C">
      <w:r>
        <w:separator/>
      </w:r>
    </w:p>
  </w:endnote>
  <w:endnote w:type="continuationSeparator" w:id="0">
    <w:p w14:paraId="70BAED0B" w14:textId="77777777" w:rsidR="00923D2C" w:rsidRDefault="00923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28FA6" w14:textId="4421FEE9" w:rsidR="003E4228" w:rsidRPr="00AF7398" w:rsidRDefault="00F03499">
    <w:pPr>
      <w:rPr>
        <w:color w:val="999999"/>
        <w:sz w:val="16"/>
        <w:szCs w:val="16"/>
      </w:rPr>
    </w:pPr>
    <w:r>
      <w:rPr>
        <w:color w:val="999999"/>
        <w:sz w:val="16"/>
        <w:szCs w:val="16"/>
      </w:rPr>
      <w:t>Irish Heritage Trust | SE Systems</w:t>
    </w:r>
    <w:r w:rsidR="00AF7398">
      <w:rPr>
        <w:color w:val="999999"/>
        <w:sz w:val="16"/>
        <w:szCs w:val="16"/>
      </w:rPr>
      <w:t>:</w:t>
    </w:r>
    <w:r>
      <w:rPr>
        <w:color w:val="999999"/>
        <w:sz w:val="16"/>
        <w:szCs w:val="16"/>
      </w:rPr>
      <w:t xml:space="preserve"> DRAFT for confirmation | Page </w:t>
    </w:r>
    <w:r>
      <w:rPr>
        <w:color w:val="999999"/>
        <w:sz w:val="16"/>
        <w:szCs w:val="16"/>
      </w:rPr>
      <w:fldChar w:fldCharType="begin"/>
    </w:r>
    <w:r>
      <w:rPr>
        <w:color w:val="999999"/>
        <w:sz w:val="16"/>
        <w:szCs w:val="16"/>
      </w:rPr>
      <w:instrText>PAGE</w:instrText>
    </w:r>
    <w:r>
      <w:rPr>
        <w:color w:val="999999"/>
        <w:sz w:val="16"/>
        <w:szCs w:val="16"/>
      </w:rPr>
      <w:fldChar w:fldCharType="separate"/>
    </w:r>
    <w:r>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5C9E8" w14:textId="77777777" w:rsidR="00923D2C" w:rsidRDefault="00923D2C">
      <w:r>
        <w:separator/>
      </w:r>
    </w:p>
  </w:footnote>
  <w:footnote w:type="continuationSeparator" w:id="0">
    <w:p w14:paraId="1227931D" w14:textId="77777777" w:rsidR="00923D2C" w:rsidRDefault="00923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28FA5" w14:textId="0DE8F708" w:rsidR="003E4228" w:rsidRDefault="00F03499">
    <w:r>
      <w:rPr>
        <w:color w:val="999999"/>
        <w:sz w:val="16"/>
        <w:szCs w:val="16"/>
      </w:rPr>
      <w:t>Strokestown Park HP Installation</w:t>
    </w:r>
    <w:r w:rsidR="00E70149">
      <w:rPr>
        <w:color w:val="999999"/>
        <w:sz w:val="16"/>
        <w:szCs w:val="16"/>
      </w:rPr>
      <w:sym w:font="Symbol" w:char="F0BD"/>
    </w:r>
    <w:r>
      <w:rPr>
        <w:color w:val="999999"/>
        <w:sz w:val="16"/>
        <w:szCs w:val="16"/>
      </w:rPr>
      <w:t>Tender Award Criteria (MEAT)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C2FDF"/>
    <w:multiLevelType w:val="hybridMultilevel"/>
    <w:tmpl w:val="EFB4792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51417E35"/>
    <w:multiLevelType w:val="hybridMultilevel"/>
    <w:tmpl w:val="1048DC6A"/>
    <w:lvl w:ilvl="0" w:tplc="54EC4A46">
      <w:start w:val="1"/>
      <w:numFmt w:val="bullet"/>
      <w:lvlText w:val="●"/>
      <w:lvlJc w:val="left"/>
      <w:pPr>
        <w:ind w:left="720" w:hanging="360"/>
      </w:pPr>
    </w:lvl>
    <w:lvl w:ilvl="1" w:tplc="B2108E6C">
      <w:start w:val="1"/>
      <w:numFmt w:val="bullet"/>
      <w:lvlText w:val="○"/>
      <w:lvlJc w:val="left"/>
      <w:pPr>
        <w:ind w:left="1440" w:hanging="360"/>
      </w:pPr>
    </w:lvl>
    <w:lvl w:ilvl="2" w:tplc="5CE67624">
      <w:start w:val="1"/>
      <w:numFmt w:val="bullet"/>
      <w:lvlText w:val="■"/>
      <w:lvlJc w:val="left"/>
      <w:pPr>
        <w:ind w:left="2160" w:hanging="360"/>
      </w:pPr>
    </w:lvl>
    <w:lvl w:ilvl="3" w:tplc="AD2C22A6">
      <w:start w:val="1"/>
      <w:numFmt w:val="bullet"/>
      <w:lvlText w:val="●"/>
      <w:lvlJc w:val="left"/>
      <w:pPr>
        <w:ind w:left="2880" w:hanging="360"/>
      </w:pPr>
    </w:lvl>
    <w:lvl w:ilvl="4" w:tplc="93A6B542">
      <w:start w:val="1"/>
      <w:numFmt w:val="bullet"/>
      <w:lvlText w:val="○"/>
      <w:lvlJc w:val="left"/>
      <w:pPr>
        <w:ind w:left="3600" w:hanging="360"/>
      </w:pPr>
    </w:lvl>
    <w:lvl w:ilvl="5" w:tplc="3C3E629C">
      <w:start w:val="1"/>
      <w:numFmt w:val="bullet"/>
      <w:lvlText w:val="■"/>
      <w:lvlJc w:val="left"/>
      <w:pPr>
        <w:ind w:left="4320" w:hanging="360"/>
      </w:pPr>
    </w:lvl>
    <w:lvl w:ilvl="6" w:tplc="5A2A5840">
      <w:start w:val="1"/>
      <w:numFmt w:val="bullet"/>
      <w:lvlText w:val="●"/>
      <w:lvlJc w:val="left"/>
      <w:pPr>
        <w:ind w:left="5040" w:hanging="360"/>
      </w:pPr>
    </w:lvl>
    <w:lvl w:ilvl="7" w:tplc="05642B80">
      <w:start w:val="1"/>
      <w:numFmt w:val="bullet"/>
      <w:lvlText w:val="●"/>
      <w:lvlJc w:val="left"/>
      <w:pPr>
        <w:ind w:left="5760" w:hanging="360"/>
      </w:pPr>
    </w:lvl>
    <w:lvl w:ilvl="8" w:tplc="450667AC">
      <w:start w:val="1"/>
      <w:numFmt w:val="bullet"/>
      <w:lvlText w:val="●"/>
      <w:lvlJc w:val="left"/>
      <w:pPr>
        <w:ind w:left="6480" w:hanging="360"/>
      </w:pPr>
    </w:lvl>
  </w:abstractNum>
  <w:abstractNum w:abstractNumId="2" w15:restartNumberingAfterBreak="0">
    <w:nsid w:val="65250187"/>
    <w:multiLevelType w:val="hybridMultilevel"/>
    <w:tmpl w:val="9F9CA74A"/>
    <w:lvl w:ilvl="0" w:tplc="48CE5AC8">
      <w:start w:val="1"/>
      <w:numFmt w:val="bullet"/>
      <w:lvlText w:val="•"/>
      <w:lvlJc w:val="left"/>
      <w:pPr>
        <w:ind w:left="460" w:hanging="240"/>
      </w:pPr>
    </w:lvl>
    <w:lvl w:ilvl="1" w:tplc="FF0C2274">
      <w:numFmt w:val="decimal"/>
      <w:lvlText w:val=""/>
      <w:lvlJc w:val="left"/>
    </w:lvl>
    <w:lvl w:ilvl="2" w:tplc="2B2EFD90">
      <w:numFmt w:val="decimal"/>
      <w:lvlText w:val=""/>
      <w:lvlJc w:val="left"/>
    </w:lvl>
    <w:lvl w:ilvl="3" w:tplc="15FCBC54">
      <w:numFmt w:val="decimal"/>
      <w:lvlText w:val=""/>
      <w:lvlJc w:val="left"/>
    </w:lvl>
    <w:lvl w:ilvl="4" w:tplc="633A1178">
      <w:numFmt w:val="decimal"/>
      <w:lvlText w:val=""/>
      <w:lvlJc w:val="left"/>
    </w:lvl>
    <w:lvl w:ilvl="5" w:tplc="77E654DE">
      <w:numFmt w:val="decimal"/>
      <w:lvlText w:val=""/>
      <w:lvlJc w:val="left"/>
    </w:lvl>
    <w:lvl w:ilvl="6" w:tplc="4AE6E702">
      <w:numFmt w:val="decimal"/>
      <w:lvlText w:val=""/>
      <w:lvlJc w:val="left"/>
    </w:lvl>
    <w:lvl w:ilvl="7" w:tplc="BA445BBE">
      <w:numFmt w:val="decimal"/>
      <w:lvlText w:val=""/>
      <w:lvlJc w:val="left"/>
    </w:lvl>
    <w:lvl w:ilvl="8" w:tplc="EDFEAE7E">
      <w:numFmt w:val="decimal"/>
      <w:lvlText w:val=""/>
      <w:lvlJc w:val="left"/>
    </w:lvl>
  </w:abstractNum>
  <w:num w:numId="1" w16cid:durableId="1448887065">
    <w:abstractNumId w:val="1"/>
    <w:lvlOverride w:ilvl="0">
      <w:startOverride w:val="1"/>
    </w:lvlOverride>
  </w:num>
  <w:num w:numId="2" w16cid:durableId="340935323">
    <w:abstractNumId w:val="2"/>
    <w:lvlOverride w:ilvl="0">
      <w:startOverride w:val="1"/>
    </w:lvlOverride>
  </w:num>
  <w:num w:numId="3" w16cid:durableId="6140228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4228"/>
    <w:rsid w:val="000A5492"/>
    <w:rsid w:val="001062F3"/>
    <w:rsid w:val="00146D4C"/>
    <w:rsid w:val="00204C48"/>
    <w:rsid w:val="00220933"/>
    <w:rsid w:val="00235CF7"/>
    <w:rsid w:val="002A3AFB"/>
    <w:rsid w:val="003650C4"/>
    <w:rsid w:val="003D37A5"/>
    <w:rsid w:val="003E4228"/>
    <w:rsid w:val="003E6C9F"/>
    <w:rsid w:val="004C64A9"/>
    <w:rsid w:val="004F3E75"/>
    <w:rsid w:val="00623807"/>
    <w:rsid w:val="006246BE"/>
    <w:rsid w:val="00671CEA"/>
    <w:rsid w:val="006C116C"/>
    <w:rsid w:val="006D40FF"/>
    <w:rsid w:val="0072009C"/>
    <w:rsid w:val="00755341"/>
    <w:rsid w:val="00760BB2"/>
    <w:rsid w:val="00761BEC"/>
    <w:rsid w:val="007E3CBA"/>
    <w:rsid w:val="00923D2C"/>
    <w:rsid w:val="00932C03"/>
    <w:rsid w:val="00A34EA9"/>
    <w:rsid w:val="00A7561A"/>
    <w:rsid w:val="00A87E48"/>
    <w:rsid w:val="00AF7398"/>
    <w:rsid w:val="00BB74A1"/>
    <w:rsid w:val="00C2655A"/>
    <w:rsid w:val="00C36319"/>
    <w:rsid w:val="00CA2710"/>
    <w:rsid w:val="00CA665D"/>
    <w:rsid w:val="00D35D20"/>
    <w:rsid w:val="00D7313A"/>
    <w:rsid w:val="00DC029B"/>
    <w:rsid w:val="00E360C0"/>
    <w:rsid w:val="00E47BE2"/>
    <w:rsid w:val="00E70149"/>
    <w:rsid w:val="00F03499"/>
    <w:rsid w:val="00F84BD4"/>
    <w:rsid w:val="569AD2F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A28E86"/>
  <w15:docId w15:val="{F01977FC-A58D-4D9F-9E5C-94C86E9F4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D4C"/>
  </w:style>
  <w:style w:type="paragraph" w:styleId="Heading1">
    <w:name w:val="heading 1"/>
    <w:basedOn w:val="Normal"/>
    <w:next w:val="Normal"/>
    <w:link w:val="Heading1Char"/>
    <w:uiPriority w:val="9"/>
    <w:qFormat/>
    <w:rsid w:val="00146D4C"/>
    <w:pPr>
      <w:keepNext/>
      <w:keepLines/>
      <w:spacing w:before="400" w:after="40" w:line="240" w:lineRule="auto"/>
      <w:outlineLvl w:val="0"/>
    </w:pPr>
    <w:rPr>
      <w:rFonts w:asciiTheme="majorHAnsi" w:eastAsiaTheme="majorEastAsia" w:hAnsiTheme="majorHAnsi" w:cstheme="majorBidi"/>
      <w:color w:val="12503B" w:themeColor="accent1" w:themeShade="80"/>
      <w:sz w:val="36"/>
      <w:szCs w:val="36"/>
    </w:rPr>
  </w:style>
  <w:style w:type="paragraph" w:styleId="Heading2">
    <w:name w:val="heading 2"/>
    <w:basedOn w:val="Normal"/>
    <w:next w:val="Normal"/>
    <w:link w:val="Heading2Char"/>
    <w:uiPriority w:val="9"/>
    <w:unhideWhenUsed/>
    <w:qFormat/>
    <w:rsid w:val="00146D4C"/>
    <w:pPr>
      <w:keepNext/>
      <w:keepLines/>
      <w:spacing w:before="40" w:after="0" w:line="240" w:lineRule="auto"/>
      <w:outlineLvl w:val="1"/>
    </w:pPr>
    <w:rPr>
      <w:rFonts w:asciiTheme="majorHAnsi" w:eastAsiaTheme="majorEastAsia" w:hAnsiTheme="majorHAnsi" w:cstheme="majorBidi"/>
      <w:color w:val="1B7758" w:themeColor="accent1" w:themeShade="BF"/>
      <w:sz w:val="32"/>
      <w:szCs w:val="32"/>
    </w:rPr>
  </w:style>
  <w:style w:type="paragraph" w:styleId="Heading3">
    <w:name w:val="heading 3"/>
    <w:basedOn w:val="Normal"/>
    <w:next w:val="Normal"/>
    <w:link w:val="Heading3Char"/>
    <w:uiPriority w:val="9"/>
    <w:unhideWhenUsed/>
    <w:qFormat/>
    <w:rsid w:val="00146D4C"/>
    <w:pPr>
      <w:keepNext/>
      <w:keepLines/>
      <w:spacing w:before="40" w:after="0" w:line="240" w:lineRule="auto"/>
      <w:outlineLvl w:val="2"/>
    </w:pPr>
    <w:rPr>
      <w:rFonts w:asciiTheme="majorHAnsi" w:eastAsiaTheme="majorEastAsia" w:hAnsiTheme="majorHAnsi" w:cstheme="majorBidi"/>
      <w:color w:val="1B7758" w:themeColor="accent1" w:themeShade="BF"/>
      <w:sz w:val="28"/>
      <w:szCs w:val="28"/>
    </w:rPr>
  </w:style>
  <w:style w:type="paragraph" w:styleId="Heading4">
    <w:name w:val="heading 4"/>
    <w:basedOn w:val="Normal"/>
    <w:next w:val="Normal"/>
    <w:link w:val="Heading4Char"/>
    <w:uiPriority w:val="9"/>
    <w:semiHidden/>
    <w:unhideWhenUsed/>
    <w:qFormat/>
    <w:rsid w:val="00146D4C"/>
    <w:pPr>
      <w:keepNext/>
      <w:keepLines/>
      <w:spacing w:before="40" w:after="0"/>
      <w:outlineLvl w:val="3"/>
    </w:pPr>
    <w:rPr>
      <w:rFonts w:asciiTheme="majorHAnsi" w:eastAsiaTheme="majorEastAsia" w:hAnsiTheme="majorHAnsi" w:cstheme="majorBidi"/>
      <w:color w:val="1B7758" w:themeColor="accent1" w:themeShade="BF"/>
      <w:sz w:val="24"/>
      <w:szCs w:val="24"/>
    </w:rPr>
  </w:style>
  <w:style w:type="paragraph" w:styleId="Heading5">
    <w:name w:val="heading 5"/>
    <w:basedOn w:val="Normal"/>
    <w:next w:val="Normal"/>
    <w:link w:val="Heading5Char"/>
    <w:uiPriority w:val="9"/>
    <w:semiHidden/>
    <w:unhideWhenUsed/>
    <w:qFormat/>
    <w:rsid w:val="00146D4C"/>
    <w:pPr>
      <w:keepNext/>
      <w:keepLines/>
      <w:spacing w:before="40" w:after="0"/>
      <w:outlineLvl w:val="4"/>
    </w:pPr>
    <w:rPr>
      <w:rFonts w:asciiTheme="majorHAnsi" w:eastAsiaTheme="majorEastAsia" w:hAnsiTheme="majorHAnsi" w:cstheme="majorBidi"/>
      <w:caps/>
      <w:color w:val="1B7758" w:themeColor="accent1" w:themeShade="BF"/>
    </w:rPr>
  </w:style>
  <w:style w:type="paragraph" w:styleId="Heading6">
    <w:name w:val="heading 6"/>
    <w:basedOn w:val="Normal"/>
    <w:next w:val="Normal"/>
    <w:link w:val="Heading6Char"/>
    <w:uiPriority w:val="9"/>
    <w:semiHidden/>
    <w:unhideWhenUsed/>
    <w:qFormat/>
    <w:rsid w:val="00146D4C"/>
    <w:pPr>
      <w:keepNext/>
      <w:keepLines/>
      <w:spacing w:before="40" w:after="0"/>
      <w:outlineLvl w:val="5"/>
    </w:pPr>
    <w:rPr>
      <w:rFonts w:asciiTheme="majorHAnsi" w:eastAsiaTheme="majorEastAsia" w:hAnsiTheme="majorHAnsi" w:cstheme="majorBidi"/>
      <w:i/>
      <w:iCs/>
      <w:caps/>
      <w:color w:val="12503B" w:themeColor="accent1" w:themeShade="80"/>
    </w:rPr>
  </w:style>
  <w:style w:type="paragraph" w:styleId="Heading7">
    <w:name w:val="heading 7"/>
    <w:basedOn w:val="Normal"/>
    <w:next w:val="Normal"/>
    <w:link w:val="Heading7Char"/>
    <w:uiPriority w:val="9"/>
    <w:semiHidden/>
    <w:unhideWhenUsed/>
    <w:qFormat/>
    <w:rsid w:val="00146D4C"/>
    <w:pPr>
      <w:keepNext/>
      <w:keepLines/>
      <w:spacing w:before="40" w:after="0"/>
      <w:outlineLvl w:val="6"/>
    </w:pPr>
    <w:rPr>
      <w:rFonts w:asciiTheme="majorHAnsi" w:eastAsiaTheme="majorEastAsia" w:hAnsiTheme="majorHAnsi" w:cstheme="majorBidi"/>
      <w:b/>
      <w:bCs/>
      <w:color w:val="12503B" w:themeColor="accent1" w:themeShade="80"/>
    </w:rPr>
  </w:style>
  <w:style w:type="paragraph" w:styleId="Heading8">
    <w:name w:val="heading 8"/>
    <w:basedOn w:val="Normal"/>
    <w:next w:val="Normal"/>
    <w:link w:val="Heading8Char"/>
    <w:uiPriority w:val="9"/>
    <w:semiHidden/>
    <w:unhideWhenUsed/>
    <w:qFormat/>
    <w:rsid w:val="00146D4C"/>
    <w:pPr>
      <w:keepNext/>
      <w:keepLines/>
      <w:spacing w:before="40" w:after="0"/>
      <w:outlineLvl w:val="7"/>
    </w:pPr>
    <w:rPr>
      <w:rFonts w:asciiTheme="majorHAnsi" w:eastAsiaTheme="majorEastAsia" w:hAnsiTheme="majorHAnsi" w:cstheme="majorBidi"/>
      <w:b/>
      <w:bCs/>
      <w:i/>
      <w:iCs/>
      <w:color w:val="12503B" w:themeColor="accent1" w:themeShade="80"/>
    </w:rPr>
  </w:style>
  <w:style w:type="paragraph" w:styleId="Heading9">
    <w:name w:val="heading 9"/>
    <w:basedOn w:val="Normal"/>
    <w:next w:val="Normal"/>
    <w:link w:val="Heading9Char"/>
    <w:uiPriority w:val="9"/>
    <w:semiHidden/>
    <w:unhideWhenUsed/>
    <w:qFormat/>
    <w:rsid w:val="00146D4C"/>
    <w:pPr>
      <w:keepNext/>
      <w:keepLines/>
      <w:spacing w:before="40" w:after="0"/>
      <w:outlineLvl w:val="8"/>
    </w:pPr>
    <w:rPr>
      <w:rFonts w:asciiTheme="majorHAnsi" w:eastAsiaTheme="majorEastAsia" w:hAnsiTheme="majorHAnsi" w:cstheme="majorBidi"/>
      <w:i/>
      <w:iCs/>
      <w:color w:val="12503B"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46D4C"/>
    <w:pPr>
      <w:spacing w:after="0" w:line="204" w:lineRule="auto"/>
      <w:contextualSpacing/>
    </w:pPr>
    <w:rPr>
      <w:rFonts w:asciiTheme="majorHAnsi" w:eastAsiaTheme="majorEastAsia" w:hAnsiTheme="majorHAnsi" w:cstheme="majorBidi"/>
      <w:caps/>
      <w:color w:val="44546A" w:themeColor="text2"/>
      <w:spacing w:val="-15"/>
      <w:sz w:val="72"/>
      <w:szCs w:val="72"/>
    </w:rPr>
  </w:style>
  <w:style w:type="paragraph" w:customStyle="1" w:styleId="Strong1">
    <w:name w:val="Strong1"/>
    <w:rPr>
      <w:b/>
      <w:bCs/>
    </w:rPr>
  </w:style>
  <w:style w:type="paragraph" w:styleId="ListParagraph">
    <w:name w:val="List Paragraph"/>
    <w:uiPriority w:val="34"/>
    <w:qFormat/>
    <w:pPr>
      <w:ind w:left="720"/>
      <w:contextualSpacing/>
    </w:pPr>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customStyle="1" w:styleId="Heading1Char">
    <w:name w:val="Heading 1 Char"/>
    <w:basedOn w:val="DefaultParagraphFont"/>
    <w:link w:val="Heading1"/>
    <w:uiPriority w:val="9"/>
    <w:rsid w:val="00146D4C"/>
    <w:rPr>
      <w:rFonts w:asciiTheme="majorHAnsi" w:eastAsiaTheme="majorEastAsia" w:hAnsiTheme="majorHAnsi" w:cstheme="majorBidi"/>
      <w:color w:val="12503B" w:themeColor="accent1" w:themeShade="80"/>
      <w:sz w:val="36"/>
      <w:szCs w:val="36"/>
    </w:rPr>
  </w:style>
  <w:style w:type="character" w:customStyle="1" w:styleId="Heading2Char">
    <w:name w:val="Heading 2 Char"/>
    <w:basedOn w:val="DefaultParagraphFont"/>
    <w:link w:val="Heading2"/>
    <w:uiPriority w:val="9"/>
    <w:rsid w:val="00146D4C"/>
    <w:rPr>
      <w:rFonts w:asciiTheme="majorHAnsi" w:eastAsiaTheme="majorEastAsia" w:hAnsiTheme="majorHAnsi" w:cstheme="majorBidi"/>
      <w:color w:val="1B7758" w:themeColor="accent1" w:themeShade="BF"/>
      <w:sz w:val="32"/>
      <w:szCs w:val="32"/>
    </w:rPr>
  </w:style>
  <w:style w:type="character" w:customStyle="1" w:styleId="Heading3Char">
    <w:name w:val="Heading 3 Char"/>
    <w:basedOn w:val="DefaultParagraphFont"/>
    <w:link w:val="Heading3"/>
    <w:uiPriority w:val="9"/>
    <w:rsid w:val="00146D4C"/>
    <w:rPr>
      <w:rFonts w:asciiTheme="majorHAnsi" w:eastAsiaTheme="majorEastAsia" w:hAnsiTheme="majorHAnsi" w:cstheme="majorBidi"/>
      <w:color w:val="1B7758" w:themeColor="accent1" w:themeShade="BF"/>
      <w:sz w:val="28"/>
      <w:szCs w:val="28"/>
    </w:rPr>
  </w:style>
  <w:style w:type="character" w:customStyle="1" w:styleId="Heading4Char">
    <w:name w:val="Heading 4 Char"/>
    <w:basedOn w:val="DefaultParagraphFont"/>
    <w:link w:val="Heading4"/>
    <w:uiPriority w:val="9"/>
    <w:semiHidden/>
    <w:rsid w:val="00146D4C"/>
    <w:rPr>
      <w:rFonts w:asciiTheme="majorHAnsi" w:eastAsiaTheme="majorEastAsia" w:hAnsiTheme="majorHAnsi" w:cstheme="majorBidi"/>
      <w:color w:val="1B7758" w:themeColor="accent1" w:themeShade="BF"/>
      <w:sz w:val="24"/>
      <w:szCs w:val="24"/>
    </w:rPr>
  </w:style>
  <w:style w:type="character" w:customStyle="1" w:styleId="Heading5Char">
    <w:name w:val="Heading 5 Char"/>
    <w:basedOn w:val="DefaultParagraphFont"/>
    <w:link w:val="Heading5"/>
    <w:uiPriority w:val="9"/>
    <w:semiHidden/>
    <w:rsid w:val="00146D4C"/>
    <w:rPr>
      <w:rFonts w:asciiTheme="majorHAnsi" w:eastAsiaTheme="majorEastAsia" w:hAnsiTheme="majorHAnsi" w:cstheme="majorBidi"/>
      <w:caps/>
      <w:color w:val="1B7758" w:themeColor="accent1" w:themeShade="BF"/>
    </w:rPr>
  </w:style>
  <w:style w:type="character" w:customStyle="1" w:styleId="Heading6Char">
    <w:name w:val="Heading 6 Char"/>
    <w:basedOn w:val="DefaultParagraphFont"/>
    <w:link w:val="Heading6"/>
    <w:uiPriority w:val="9"/>
    <w:semiHidden/>
    <w:rsid w:val="00146D4C"/>
    <w:rPr>
      <w:rFonts w:asciiTheme="majorHAnsi" w:eastAsiaTheme="majorEastAsia" w:hAnsiTheme="majorHAnsi" w:cstheme="majorBidi"/>
      <w:i/>
      <w:iCs/>
      <w:caps/>
      <w:color w:val="12503B" w:themeColor="accent1" w:themeShade="80"/>
    </w:rPr>
  </w:style>
  <w:style w:type="character" w:customStyle="1" w:styleId="Heading7Char">
    <w:name w:val="Heading 7 Char"/>
    <w:basedOn w:val="DefaultParagraphFont"/>
    <w:link w:val="Heading7"/>
    <w:uiPriority w:val="9"/>
    <w:semiHidden/>
    <w:rsid w:val="00146D4C"/>
    <w:rPr>
      <w:rFonts w:asciiTheme="majorHAnsi" w:eastAsiaTheme="majorEastAsia" w:hAnsiTheme="majorHAnsi" w:cstheme="majorBidi"/>
      <w:b/>
      <w:bCs/>
      <w:color w:val="12503B" w:themeColor="accent1" w:themeShade="80"/>
    </w:rPr>
  </w:style>
  <w:style w:type="character" w:customStyle="1" w:styleId="Heading8Char">
    <w:name w:val="Heading 8 Char"/>
    <w:basedOn w:val="DefaultParagraphFont"/>
    <w:link w:val="Heading8"/>
    <w:uiPriority w:val="9"/>
    <w:semiHidden/>
    <w:rsid w:val="00146D4C"/>
    <w:rPr>
      <w:rFonts w:asciiTheme="majorHAnsi" w:eastAsiaTheme="majorEastAsia" w:hAnsiTheme="majorHAnsi" w:cstheme="majorBidi"/>
      <w:b/>
      <w:bCs/>
      <w:i/>
      <w:iCs/>
      <w:color w:val="12503B" w:themeColor="accent1" w:themeShade="80"/>
    </w:rPr>
  </w:style>
  <w:style w:type="character" w:customStyle="1" w:styleId="Heading9Char">
    <w:name w:val="Heading 9 Char"/>
    <w:basedOn w:val="DefaultParagraphFont"/>
    <w:link w:val="Heading9"/>
    <w:uiPriority w:val="9"/>
    <w:semiHidden/>
    <w:rsid w:val="00146D4C"/>
    <w:rPr>
      <w:rFonts w:asciiTheme="majorHAnsi" w:eastAsiaTheme="majorEastAsia" w:hAnsiTheme="majorHAnsi" w:cstheme="majorBidi"/>
      <w:i/>
      <w:iCs/>
      <w:color w:val="12503B" w:themeColor="accent1" w:themeShade="80"/>
    </w:rPr>
  </w:style>
  <w:style w:type="paragraph" w:styleId="Caption">
    <w:name w:val="caption"/>
    <w:basedOn w:val="Normal"/>
    <w:next w:val="Normal"/>
    <w:uiPriority w:val="35"/>
    <w:semiHidden/>
    <w:unhideWhenUsed/>
    <w:qFormat/>
    <w:rsid w:val="00146D4C"/>
    <w:pPr>
      <w:spacing w:line="240" w:lineRule="auto"/>
    </w:pPr>
    <w:rPr>
      <w:b/>
      <w:bCs/>
      <w:smallCaps/>
      <w:color w:val="44546A" w:themeColor="text2"/>
    </w:rPr>
  </w:style>
  <w:style w:type="character" w:customStyle="1" w:styleId="TitleChar">
    <w:name w:val="Title Char"/>
    <w:basedOn w:val="DefaultParagraphFont"/>
    <w:link w:val="Title"/>
    <w:uiPriority w:val="10"/>
    <w:rsid w:val="00146D4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146D4C"/>
    <w:pPr>
      <w:numPr>
        <w:ilvl w:val="1"/>
      </w:numPr>
      <w:spacing w:after="240" w:line="240" w:lineRule="auto"/>
    </w:pPr>
    <w:rPr>
      <w:rFonts w:asciiTheme="majorHAnsi" w:eastAsiaTheme="majorEastAsia" w:hAnsiTheme="majorHAnsi" w:cstheme="majorBidi"/>
      <w:color w:val="24A076" w:themeColor="accent1"/>
      <w:sz w:val="28"/>
      <w:szCs w:val="28"/>
    </w:rPr>
  </w:style>
  <w:style w:type="character" w:customStyle="1" w:styleId="SubtitleChar">
    <w:name w:val="Subtitle Char"/>
    <w:basedOn w:val="DefaultParagraphFont"/>
    <w:link w:val="Subtitle"/>
    <w:uiPriority w:val="11"/>
    <w:rsid w:val="00146D4C"/>
    <w:rPr>
      <w:rFonts w:asciiTheme="majorHAnsi" w:eastAsiaTheme="majorEastAsia" w:hAnsiTheme="majorHAnsi" w:cstheme="majorBidi"/>
      <w:color w:val="24A076" w:themeColor="accent1"/>
      <w:sz w:val="28"/>
      <w:szCs w:val="28"/>
    </w:rPr>
  </w:style>
  <w:style w:type="character" w:styleId="Strong">
    <w:name w:val="Strong"/>
    <w:basedOn w:val="DefaultParagraphFont"/>
    <w:uiPriority w:val="22"/>
    <w:qFormat/>
    <w:rsid w:val="00146D4C"/>
    <w:rPr>
      <w:b/>
      <w:bCs/>
    </w:rPr>
  </w:style>
  <w:style w:type="character" w:styleId="Emphasis">
    <w:name w:val="Emphasis"/>
    <w:basedOn w:val="DefaultParagraphFont"/>
    <w:uiPriority w:val="20"/>
    <w:qFormat/>
    <w:rsid w:val="00146D4C"/>
    <w:rPr>
      <w:i/>
      <w:iCs/>
    </w:rPr>
  </w:style>
  <w:style w:type="paragraph" w:styleId="NoSpacing">
    <w:name w:val="No Spacing"/>
    <w:uiPriority w:val="1"/>
    <w:qFormat/>
    <w:rsid w:val="00146D4C"/>
    <w:pPr>
      <w:spacing w:after="0" w:line="240" w:lineRule="auto"/>
    </w:pPr>
  </w:style>
  <w:style w:type="paragraph" w:styleId="Quote">
    <w:name w:val="Quote"/>
    <w:basedOn w:val="Normal"/>
    <w:next w:val="Normal"/>
    <w:link w:val="QuoteChar"/>
    <w:uiPriority w:val="29"/>
    <w:qFormat/>
    <w:rsid w:val="00146D4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146D4C"/>
    <w:rPr>
      <w:color w:val="44546A" w:themeColor="text2"/>
      <w:sz w:val="24"/>
      <w:szCs w:val="24"/>
    </w:rPr>
  </w:style>
  <w:style w:type="paragraph" w:styleId="IntenseQuote">
    <w:name w:val="Intense Quote"/>
    <w:basedOn w:val="Normal"/>
    <w:next w:val="Normal"/>
    <w:link w:val="IntenseQuoteChar"/>
    <w:uiPriority w:val="30"/>
    <w:qFormat/>
    <w:rsid w:val="00146D4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146D4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146D4C"/>
    <w:rPr>
      <w:i/>
      <w:iCs/>
      <w:color w:val="595959" w:themeColor="text1" w:themeTint="A6"/>
    </w:rPr>
  </w:style>
  <w:style w:type="character" w:styleId="IntenseEmphasis">
    <w:name w:val="Intense Emphasis"/>
    <w:basedOn w:val="DefaultParagraphFont"/>
    <w:uiPriority w:val="21"/>
    <w:qFormat/>
    <w:rsid w:val="00146D4C"/>
    <w:rPr>
      <w:b/>
      <w:bCs/>
      <w:i/>
      <w:iCs/>
    </w:rPr>
  </w:style>
  <w:style w:type="character" w:styleId="SubtleReference">
    <w:name w:val="Subtle Reference"/>
    <w:basedOn w:val="DefaultParagraphFont"/>
    <w:uiPriority w:val="31"/>
    <w:qFormat/>
    <w:rsid w:val="00146D4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146D4C"/>
    <w:rPr>
      <w:b/>
      <w:bCs/>
      <w:smallCaps/>
      <w:color w:val="44546A" w:themeColor="text2"/>
      <w:u w:val="single"/>
    </w:rPr>
  </w:style>
  <w:style w:type="character" w:styleId="BookTitle">
    <w:name w:val="Book Title"/>
    <w:basedOn w:val="DefaultParagraphFont"/>
    <w:uiPriority w:val="33"/>
    <w:qFormat/>
    <w:rsid w:val="00146D4C"/>
    <w:rPr>
      <w:b/>
      <w:bCs/>
      <w:smallCaps/>
      <w:spacing w:val="10"/>
    </w:rPr>
  </w:style>
  <w:style w:type="paragraph" w:styleId="TOCHeading">
    <w:name w:val="TOC Heading"/>
    <w:basedOn w:val="Heading1"/>
    <w:next w:val="Normal"/>
    <w:uiPriority w:val="39"/>
    <w:semiHidden/>
    <w:unhideWhenUsed/>
    <w:qFormat/>
    <w:rsid w:val="00146D4C"/>
    <w:pPr>
      <w:outlineLvl w:val="9"/>
    </w:pPr>
  </w:style>
  <w:style w:type="paragraph" w:styleId="Header">
    <w:name w:val="header"/>
    <w:basedOn w:val="Normal"/>
    <w:link w:val="HeaderChar"/>
    <w:uiPriority w:val="99"/>
    <w:unhideWhenUsed/>
    <w:rsid w:val="002A3AF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3AFB"/>
  </w:style>
  <w:style w:type="paragraph" w:styleId="Footer">
    <w:name w:val="footer"/>
    <w:basedOn w:val="Normal"/>
    <w:link w:val="FooterChar"/>
    <w:uiPriority w:val="99"/>
    <w:unhideWhenUsed/>
    <w:rsid w:val="002A3AF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3A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SE Systems">
      <a:dk1>
        <a:sysClr val="windowText" lastClr="000000"/>
      </a:dk1>
      <a:lt1>
        <a:sysClr val="window" lastClr="FFFFFF"/>
      </a:lt1>
      <a:dk2>
        <a:srgbClr val="44546A"/>
      </a:dk2>
      <a:lt2>
        <a:srgbClr val="E7E6E6"/>
      </a:lt2>
      <a:accent1>
        <a:srgbClr val="24A076"/>
      </a:accent1>
      <a:accent2>
        <a:srgbClr val="808285"/>
      </a:accent2>
      <a:accent3>
        <a:srgbClr val="854299"/>
      </a:accent3>
      <a:accent4>
        <a:srgbClr val="066454"/>
      </a:accent4>
      <a:accent5>
        <a:srgbClr val="B3B3C2"/>
      </a:accent5>
      <a:accent6>
        <a:srgbClr val="BDE3D6"/>
      </a:accent6>
      <a:hlink>
        <a:srgbClr val="0563C1"/>
      </a:hlink>
      <a:folHlink>
        <a:srgbClr val="24A076"/>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097FE6EC8EB94EA84B393C2E2E8FA4" ma:contentTypeVersion="16" ma:contentTypeDescription="Create a new document." ma:contentTypeScope="" ma:versionID="ce3774bd2fe9b57231b20dca61fc848c">
  <xsd:schema xmlns:xsd="http://www.w3.org/2001/XMLSchema" xmlns:xs="http://www.w3.org/2001/XMLSchema" xmlns:p="http://schemas.microsoft.com/office/2006/metadata/properties" xmlns:ns2="8e034b54-3243-4cc3-a0bb-1d1aa3c40224" xmlns:ns3="329554dd-8db7-44cf-a739-c2426f9581aa" targetNamespace="http://schemas.microsoft.com/office/2006/metadata/properties" ma:root="true" ma:fieldsID="4f01d0ec895eba77c33d37933cff1291" ns2:_="" ns3:_="">
    <xsd:import namespace="8e034b54-3243-4cc3-a0bb-1d1aa3c40224"/>
    <xsd:import namespace="329554dd-8db7-44cf-a739-c2426f9581aa"/>
    <xsd:element name="properties">
      <xsd:complexType>
        <xsd:sequence>
          <xsd:element name="documentManagement">
            <xsd:complexType>
              <xsd:all>
                <xsd:element ref="ns2:Statu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034b54-3243-4cc3-a0bb-1d1aa3c40224" elementFormDefault="qualified">
    <xsd:import namespace="http://schemas.microsoft.com/office/2006/documentManagement/types"/>
    <xsd:import namespace="http://schemas.microsoft.com/office/infopath/2007/PartnerControls"/>
    <xsd:element name="Status" ma:index="2" nillable="true" ma:displayName="Status" ma:default="0-50%" ma:format="Dropdown" ma:internalName="Status" ma:readOnly="false">
      <xsd:simpleType>
        <xsd:union memberTypes="dms:Text">
          <xsd:simpleType>
            <xsd:restriction base="dms:Choice">
              <xsd:enumeration value="0-50%"/>
              <xsd:enumeration value="50-80%"/>
              <xsd:enumeration value="80-90%"/>
              <xsd:enumeration value="90-100%"/>
              <xsd:enumeration value="Completed (BEUS)"/>
              <xsd:enumeration value="Completed (Pre-CEG)"/>
              <xsd:enumeration value="Invoiced"/>
              <xsd:enumeration value="Paid"/>
              <xsd:enumeration value="Paused"/>
            </xsd:restriction>
          </xsd:simpleType>
        </xsd:union>
      </xsd:simpleType>
    </xsd:element>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SearchProperties" ma:index="9" nillable="true" ma:displayName="MediaServiceSearchProperties" ma:hidden="true" ma:internalName="MediaServiceSearchProperties"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c1374888-a6e4-4a96-87da-ad197fd8648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hidden="true" ma:internalName="MediaServiceOCR"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hidden="true"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554dd-8db7-44cf-a739-c2426f9581a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2dd78b6-79d8-4504-9806-7bac8094e7be}" ma:internalName="TaxCatchAll" ma:readOnly="false" ma:showField="CatchAllData" ma:web="329554dd-8db7-44cf-a739-c2426f9581a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29554dd-8db7-44cf-a739-c2426f9581aa" xsi:nil="true"/>
    <Status xmlns="8e034b54-3243-4cc3-a0bb-1d1aa3c40224">0-50%</Status>
    <lcf76f155ced4ddcb4097134ff3c332f xmlns="8e034b54-3243-4cc3-a0bb-1d1aa3c4022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6285A5-525C-4041-9993-A6E23FC36FAF}">
  <ds:schemaRefs>
    <ds:schemaRef ds:uri="http://schemas.microsoft.com/sharepoint/v3/contenttype/forms"/>
  </ds:schemaRefs>
</ds:datastoreItem>
</file>

<file path=customXml/itemProps2.xml><?xml version="1.0" encoding="utf-8"?>
<ds:datastoreItem xmlns:ds="http://schemas.openxmlformats.org/officeDocument/2006/customXml" ds:itemID="{7069D54F-C946-4E24-AB83-1DD0A081B545}">
  <ds:schemaRefs>
    <ds:schemaRef ds:uri="http://schemas.openxmlformats.org/officeDocument/2006/bibliography"/>
  </ds:schemaRefs>
</ds:datastoreItem>
</file>

<file path=customXml/itemProps3.xml><?xml version="1.0" encoding="utf-8"?>
<ds:datastoreItem xmlns:ds="http://schemas.openxmlformats.org/officeDocument/2006/customXml" ds:itemID="{B9B5C2A0-44BF-49C9-8C30-2EDBEBF840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034b54-3243-4cc3-a0bb-1d1aa3c40224"/>
    <ds:schemaRef ds:uri="329554dd-8db7-44cf-a739-c2426f9581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BCCFBF-4F0E-4AEF-AA3A-55F11E67A46E}">
  <ds:schemaRefs>
    <ds:schemaRef ds:uri="http://schemas.microsoft.com/office/2006/metadata/properties"/>
    <ds:schemaRef ds:uri="http://schemas.microsoft.com/office/infopath/2007/PartnerControls"/>
    <ds:schemaRef ds:uri="329554dd-8db7-44cf-a739-c2426f9581aa"/>
    <ds:schemaRef ds:uri="8e034b54-3243-4cc3-a0bb-1d1aa3c40224"/>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18</Pages>
  <Words>4516</Words>
  <Characters>25747</Characters>
  <Application>Microsoft Office Word</Application>
  <DocSecurity>0</DocSecurity>
  <Lines>214</Lines>
  <Paragraphs>60</Paragraphs>
  <ScaleCrop>false</ScaleCrop>
  <Company/>
  <LinksUpToDate>false</LinksUpToDate>
  <CharactersWithSpaces>30203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Jaykob Rosewood</cp:lastModifiedBy>
  <cp:revision>9</cp:revision>
  <dcterms:created xsi:type="dcterms:W3CDTF">2026-07-06T12:17:00Z</dcterms:created>
  <dcterms:modified xsi:type="dcterms:W3CDTF">2026-08-05T07:56:00Z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0x010100C2097FE6EC8EB94EA84B393C2E2E8FA4</vt:lpwstr>
  </property>
  <property fmtid="{D5CDD505-2E9C-101B-9397-08002B2CF9AE}" pid="3" name="MediaServiceImageTags">
    <vt:lpwstr/>
  </property>
</Properties>
</file>